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8B02A" w14:textId="77777777" w:rsidR="005075AA" w:rsidRPr="003117B3" w:rsidRDefault="005075AA" w:rsidP="005075AA">
      <w:pPr>
        <w:spacing w:line="276" w:lineRule="auto"/>
        <w:jc w:val="center"/>
        <w:rPr>
          <w:rFonts w:ascii="Times New Roman" w:hAnsi="Times New Roman" w:cs="Times New Roman"/>
          <w:b/>
          <w:color w:val="000000" w:themeColor="text1"/>
          <w:lang w:val="ro-MD"/>
        </w:rPr>
      </w:pPr>
      <w:bookmarkStart w:id="0" w:name="_GoBack"/>
      <w:bookmarkEnd w:id="0"/>
      <w:r w:rsidRPr="003117B3">
        <w:rPr>
          <w:rFonts w:ascii="Times New Roman" w:hAnsi="Times New Roman" w:cs="Times New Roman"/>
          <w:b/>
          <w:color w:val="000000" w:themeColor="text1"/>
          <w:lang w:val="ro-MD"/>
        </w:rPr>
        <w:t>Tabel de concordanță</w:t>
      </w:r>
    </w:p>
    <w:tbl>
      <w:tblPr>
        <w:tblW w:w="5446" w:type="pct"/>
        <w:jc w:val="center"/>
        <w:tblCellMar>
          <w:top w:w="15" w:type="dxa"/>
          <w:left w:w="15" w:type="dxa"/>
          <w:bottom w:w="15" w:type="dxa"/>
          <w:right w:w="15" w:type="dxa"/>
        </w:tblCellMar>
        <w:tblLook w:val="04A0" w:firstRow="1" w:lastRow="0" w:firstColumn="1" w:lastColumn="0" w:noHBand="0" w:noVBand="1"/>
      </w:tblPr>
      <w:tblGrid>
        <w:gridCol w:w="14765"/>
      </w:tblGrid>
      <w:tr w:rsidR="003117B3" w:rsidRPr="003117B3" w14:paraId="54A2C6DD" w14:textId="77777777" w:rsidTr="00AB597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B1639" w14:textId="77777777" w:rsidR="005075AA" w:rsidRPr="003117B3" w:rsidRDefault="005075AA" w:rsidP="00AB5971">
            <w:pPr>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1. Titlul actului Uniunii Europene, inclusiv cele mai recente amendamente incluse</w:t>
            </w:r>
          </w:p>
          <w:p w14:paraId="4A204FD0" w14:textId="77777777" w:rsidR="005075AA" w:rsidRPr="003117B3" w:rsidRDefault="005075AA" w:rsidP="00AB5971">
            <w:pPr>
              <w:spacing w:after="0" w:line="276" w:lineRule="auto"/>
              <w:jc w:val="both"/>
              <w:rPr>
                <w:rFonts w:ascii="Times New Roman" w:eastAsia="Times New Roman" w:hAnsi="Times New Roman" w:cs="Times New Roman"/>
                <w:color w:val="000000" w:themeColor="text1"/>
                <w:lang w:val="ro-MD"/>
              </w:rPr>
            </w:pPr>
          </w:p>
        </w:tc>
      </w:tr>
      <w:tr w:rsidR="003117B3" w:rsidRPr="003117B3" w14:paraId="26AA35A5" w14:textId="77777777" w:rsidTr="00AB597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B3E022" w14:textId="5D0A70A4" w:rsidR="005075AA" w:rsidRPr="003117B3" w:rsidRDefault="005075AA" w:rsidP="00E67379">
            <w:pPr>
              <w:spacing w:line="276" w:lineRule="auto"/>
              <w:jc w:val="both"/>
              <w:rPr>
                <w:rFonts w:ascii="Times New Roman" w:hAnsi="Times New Roman" w:cs="Times New Roman"/>
                <w:color w:val="000000" w:themeColor="text1"/>
                <w:lang w:val="ro-RO"/>
              </w:rPr>
            </w:pPr>
            <w:r w:rsidRPr="003117B3">
              <w:rPr>
                <w:rFonts w:ascii="Times New Roman" w:hAnsi="Times New Roman" w:cs="Times New Roman"/>
                <w:b/>
                <w:color w:val="000000" w:themeColor="text1"/>
                <w:u w:val="single"/>
                <w:lang w:val="ro-MD"/>
              </w:rPr>
              <w:t>REGULAMENTUL NR. 575/2013 AL PARLAMENTULUI EUROPEAN ȘI AL CONSILIULUI din 26 iunie 2013 privind cerințele prudențiale pentru instituțiile de credit și firmele de investiții și de modificare a Regulamentului (UE) nr. 648/2012</w:t>
            </w:r>
            <w:r w:rsidRPr="003117B3">
              <w:rPr>
                <w:rFonts w:ascii="Times New Roman" w:hAnsi="Times New Roman" w:cs="Times New Roman"/>
                <w:b/>
                <w:color w:val="000000" w:themeColor="text1"/>
                <w:u w:val="single"/>
                <w:lang w:val="it-IT"/>
              </w:rPr>
              <w:t xml:space="preserve"> (în continuare – CRR)</w:t>
            </w:r>
            <w:r w:rsidR="00A90297" w:rsidRPr="003117B3">
              <w:rPr>
                <w:rFonts w:ascii="Times New Roman" w:hAnsi="Times New Roman" w:cs="Times New Roman"/>
                <w:color w:val="000000" w:themeColor="text1"/>
                <w:lang w:val="it-IT"/>
              </w:rPr>
              <w:t xml:space="preserve"> </w:t>
            </w:r>
            <w:r w:rsidR="00A90297" w:rsidRPr="003117B3">
              <w:rPr>
                <w:rFonts w:ascii="Times New Roman" w:hAnsi="Times New Roman" w:cs="Times New Roman"/>
                <w:b/>
                <w:color w:val="000000" w:themeColor="text1"/>
                <w:u w:val="single"/>
                <w:lang w:val="it-IT"/>
              </w:rPr>
              <w:t xml:space="preserve">publicat în Jurnalul Oficial al Uniunii Europene nr. L 176 din 27 iunie 2013, astfel cum a fost modificat prin </w:t>
            </w:r>
            <w:r w:rsidR="00E67379" w:rsidRPr="003117B3">
              <w:rPr>
                <w:rFonts w:ascii="Times New Roman" w:hAnsi="Times New Roman" w:cs="Times New Roman"/>
                <w:b/>
                <w:color w:val="000000" w:themeColor="text1"/>
                <w:u w:val="single"/>
                <w:lang w:val="it-IT"/>
              </w:rPr>
              <w:t xml:space="preserve"> Regulamentul (UE) </w:t>
            </w:r>
            <w:r w:rsidR="00947681" w:rsidRPr="003117B3">
              <w:rPr>
                <w:rFonts w:ascii="Times New Roman" w:hAnsi="Times New Roman" w:cs="Times New Roman"/>
                <w:b/>
                <w:color w:val="000000" w:themeColor="text1"/>
                <w:u w:val="single"/>
                <w:lang w:val="it-IT"/>
              </w:rPr>
              <w:t>2019/876</w:t>
            </w:r>
            <w:r w:rsidR="00E67379" w:rsidRPr="003117B3">
              <w:rPr>
                <w:rFonts w:ascii="Times New Roman" w:hAnsi="Times New Roman" w:cs="Times New Roman"/>
                <w:b/>
                <w:color w:val="000000" w:themeColor="text1"/>
                <w:u w:val="single"/>
                <w:lang w:val="it-IT"/>
              </w:rPr>
              <w:t xml:space="preserve"> al Parlamentului European și al Consiliului din </w:t>
            </w:r>
            <w:r w:rsidR="00947681" w:rsidRPr="003117B3">
              <w:rPr>
                <w:rFonts w:ascii="Times New Roman" w:hAnsi="Times New Roman" w:cs="Times New Roman"/>
                <w:b/>
                <w:color w:val="000000" w:themeColor="text1"/>
                <w:u w:val="single"/>
                <w:lang w:val="it-IT"/>
              </w:rPr>
              <w:t xml:space="preserve"> 20 mai 2019</w:t>
            </w:r>
            <w:r w:rsidR="00E67379" w:rsidRPr="003117B3">
              <w:rPr>
                <w:rFonts w:ascii="Times New Roman" w:hAnsi="Times New Roman" w:cs="Times New Roman"/>
                <w:b/>
                <w:color w:val="000000" w:themeColor="text1"/>
                <w:u w:val="single"/>
                <w:lang w:val="it-IT"/>
              </w:rPr>
              <w:t xml:space="preserve"> </w:t>
            </w:r>
          </w:p>
        </w:tc>
      </w:tr>
      <w:tr w:rsidR="003117B3" w:rsidRPr="003117B3" w14:paraId="1900AA02" w14:textId="77777777" w:rsidTr="00AB597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8C4BE" w14:textId="77777777" w:rsidR="005075AA" w:rsidRPr="003117B3" w:rsidRDefault="005075AA" w:rsidP="00A90297">
            <w:pPr>
              <w:tabs>
                <w:tab w:val="left" w:pos="5088"/>
              </w:tabs>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2. Titlul act</w:t>
            </w:r>
            <w:r w:rsidR="00A90297" w:rsidRPr="003117B3">
              <w:rPr>
                <w:rFonts w:ascii="Times New Roman" w:eastAsia="Times New Roman" w:hAnsi="Times New Roman" w:cs="Times New Roman"/>
                <w:b/>
                <w:color w:val="000000" w:themeColor="text1"/>
                <w:lang w:val="ro-MD"/>
              </w:rPr>
              <w:t>ului</w:t>
            </w:r>
            <w:r w:rsidRPr="003117B3">
              <w:rPr>
                <w:rFonts w:ascii="Times New Roman" w:eastAsia="Times New Roman" w:hAnsi="Times New Roman" w:cs="Times New Roman"/>
                <w:b/>
                <w:color w:val="000000" w:themeColor="text1"/>
                <w:lang w:val="ro-MD"/>
              </w:rPr>
              <w:t xml:space="preserve"> normativ naţional</w:t>
            </w:r>
          </w:p>
        </w:tc>
      </w:tr>
      <w:tr w:rsidR="003117B3" w:rsidRPr="003117B3" w14:paraId="66CFE42E" w14:textId="77777777" w:rsidTr="00AB597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86C14E" w14:textId="282FFCD9" w:rsidR="002531E7" w:rsidRPr="003117B3" w:rsidRDefault="005075AA" w:rsidP="002531E7">
            <w:pPr>
              <w:tabs>
                <w:tab w:val="left" w:pos="5088"/>
              </w:tabs>
              <w:spacing w:after="0" w:line="276" w:lineRule="auto"/>
              <w:jc w:val="both"/>
              <w:rPr>
                <w:rFonts w:ascii="Times New Roman" w:hAnsi="Times New Roman" w:cs="Times New Roman"/>
                <w:color w:val="000000" w:themeColor="text1"/>
                <w:u w:val="single"/>
                <w:lang w:val="ro-MD"/>
              </w:rPr>
            </w:pPr>
            <w:r w:rsidRPr="003117B3">
              <w:rPr>
                <w:rFonts w:ascii="Times New Roman" w:hAnsi="Times New Roman" w:cs="Times New Roman"/>
                <w:color w:val="000000" w:themeColor="text1"/>
                <w:u w:val="single"/>
                <w:lang w:val="ro-MD"/>
              </w:rPr>
              <w:t>Regulamentul privind</w:t>
            </w:r>
            <w:r w:rsidR="008B6DB5" w:rsidRPr="003117B3">
              <w:rPr>
                <w:rFonts w:ascii="Times New Roman" w:hAnsi="Times New Roman" w:cs="Times New Roman"/>
                <w:color w:val="000000" w:themeColor="text1"/>
                <w:u w:val="single"/>
                <w:lang w:val="ro-MD"/>
              </w:rPr>
              <w:t xml:space="preserve"> lichiditatea</w:t>
            </w:r>
            <w:r w:rsidR="002531E7" w:rsidRPr="003117B3">
              <w:rPr>
                <w:rFonts w:ascii="Times New Roman" w:hAnsi="Times New Roman" w:cs="Times New Roman"/>
                <w:color w:val="000000" w:themeColor="text1"/>
                <w:u w:val="single"/>
                <w:lang w:val="ro-MD"/>
              </w:rPr>
              <w:t>, aprobat prin Hotărârea Comitetului executiv</w:t>
            </w:r>
          </w:p>
          <w:p w14:paraId="51B2981D" w14:textId="77777777" w:rsidR="005075AA" w:rsidRPr="003117B3" w:rsidRDefault="002531E7" w:rsidP="002531E7">
            <w:pPr>
              <w:tabs>
                <w:tab w:val="left" w:pos="5088"/>
              </w:tabs>
              <w:spacing w:after="0" w:line="276" w:lineRule="auto"/>
              <w:jc w:val="both"/>
              <w:rPr>
                <w:rFonts w:ascii="Times New Roman" w:hAnsi="Times New Roman" w:cs="Times New Roman"/>
                <w:color w:val="000000" w:themeColor="text1"/>
                <w:u w:val="single"/>
                <w:lang w:val="ro-MD"/>
              </w:rPr>
            </w:pPr>
            <w:r w:rsidRPr="003117B3">
              <w:rPr>
                <w:rFonts w:ascii="Times New Roman" w:hAnsi="Times New Roman" w:cs="Times New Roman"/>
                <w:color w:val="000000" w:themeColor="text1"/>
                <w:u w:val="single"/>
                <w:lang w:val="ro-MD"/>
              </w:rPr>
              <w:t>al Băncii Naționale a Moldovei nr.44 din 26 februarie 2020, Monitorul Oficial al Republicii Moldova nr.87-93 din 20.03.2020, art.317</w:t>
            </w:r>
            <w:r w:rsidR="00A90297" w:rsidRPr="003117B3">
              <w:rPr>
                <w:rFonts w:ascii="Times New Roman" w:hAnsi="Times New Roman" w:cs="Times New Roman"/>
                <w:color w:val="000000" w:themeColor="text1"/>
                <w:u w:val="single"/>
                <w:lang w:val="ro-MD"/>
              </w:rPr>
              <w:t>, în vigoare din 01.10.2020</w:t>
            </w:r>
          </w:p>
          <w:p w14:paraId="4B827503" w14:textId="77777777" w:rsidR="005075AA" w:rsidRPr="003117B3" w:rsidRDefault="005075AA" w:rsidP="00F667CB">
            <w:pPr>
              <w:tabs>
                <w:tab w:val="left" w:pos="5088"/>
              </w:tabs>
              <w:spacing w:after="0" w:line="276" w:lineRule="auto"/>
              <w:jc w:val="both"/>
              <w:rPr>
                <w:rFonts w:ascii="Times New Roman" w:hAnsi="Times New Roman" w:cs="Times New Roman"/>
                <w:color w:val="000000" w:themeColor="text1"/>
                <w:lang w:val="ro-MD"/>
              </w:rPr>
            </w:pPr>
          </w:p>
        </w:tc>
      </w:tr>
      <w:tr w:rsidR="003117B3" w:rsidRPr="003117B3" w14:paraId="3448CC45" w14:textId="77777777" w:rsidTr="00AB597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1AEB9" w14:textId="77777777" w:rsidR="005075AA" w:rsidRPr="003117B3" w:rsidRDefault="005075AA" w:rsidP="00AB5971">
            <w:pPr>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3. Gradul general de compatibilitate</w:t>
            </w:r>
            <w:r w:rsidRPr="003117B3">
              <w:rPr>
                <w:rFonts w:ascii="Times New Roman" w:eastAsia="Times New Roman" w:hAnsi="Times New Roman" w:cs="Times New Roman"/>
                <w:color w:val="000000" w:themeColor="text1"/>
                <w:lang w:val="ro-MD"/>
              </w:rPr>
              <w:t>– Parțial compatibil</w:t>
            </w:r>
          </w:p>
        </w:tc>
      </w:tr>
    </w:tbl>
    <w:p w14:paraId="67D13D78" w14:textId="77777777" w:rsidR="005075AA" w:rsidRPr="003117B3" w:rsidRDefault="005075AA" w:rsidP="005075AA">
      <w:pPr>
        <w:spacing w:line="276" w:lineRule="auto"/>
        <w:jc w:val="both"/>
        <w:rPr>
          <w:rFonts w:ascii="Times New Roman" w:hAnsi="Times New Roman" w:cs="Times New Roman"/>
          <w:color w:val="000000" w:themeColor="text1"/>
          <w:lang w:val="ro-MD"/>
        </w:rPr>
      </w:pPr>
    </w:p>
    <w:tbl>
      <w:tblPr>
        <w:tblW w:w="5438" w:type="pct"/>
        <w:tblInd w:w="-579" w:type="dxa"/>
        <w:tblLayout w:type="fixed"/>
        <w:tblLook w:val="01E0" w:firstRow="1" w:lastRow="1" w:firstColumn="1" w:lastColumn="1" w:noHBand="0" w:noVBand="0"/>
      </w:tblPr>
      <w:tblGrid>
        <w:gridCol w:w="4685"/>
        <w:gridCol w:w="3685"/>
        <w:gridCol w:w="991"/>
        <w:gridCol w:w="3401"/>
        <w:gridCol w:w="1988"/>
      </w:tblGrid>
      <w:tr w:rsidR="003117B3" w:rsidRPr="003117B3" w14:paraId="27984AF5" w14:textId="77777777" w:rsidTr="00161F62">
        <w:trPr>
          <w:tblHeader/>
        </w:trPr>
        <w:tc>
          <w:tcPr>
            <w:tcW w:w="1588" w:type="pct"/>
            <w:tcBorders>
              <w:top w:val="single" w:sz="4" w:space="0" w:color="auto"/>
              <w:left w:val="single" w:sz="4" w:space="0" w:color="auto"/>
              <w:bottom w:val="single" w:sz="4" w:space="0" w:color="auto"/>
              <w:right w:val="single" w:sz="4" w:space="0" w:color="auto"/>
            </w:tcBorders>
            <w:vAlign w:val="center"/>
          </w:tcPr>
          <w:p w14:paraId="61300C98" w14:textId="77777777" w:rsidR="00161F62" w:rsidRPr="003117B3" w:rsidRDefault="00161F62" w:rsidP="00AB5971">
            <w:pPr>
              <w:spacing w:line="276" w:lineRule="auto"/>
              <w:jc w:val="center"/>
              <w:rPr>
                <w:rFonts w:ascii="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Actul Uniunii Europene</w:t>
            </w:r>
          </w:p>
        </w:tc>
        <w:tc>
          <w:tcPr>
            <w:tcW w:w="1249" w:type="pct"/>
            <w:tcBorders>
              <w:top w:val="single" w:sz="4" w:space="0" w:color="auto"/>
              <w:left w:val="single" w:sz="4" w:space="0" w:color="auto"/>
              <w:bottom w:val="single" w:sz="4" w:space="0" w:color="auto"/>
              <w:right w:val="single" w:sz="4" w:space="0" w:color="auto"/>
            </w:tcBorders>
            <w:vAlign w:val="center"/>
          </w:tcPr>
          <w:p w14:paraId="0B60018F" w14:textId="77777777" w:rsidR="00161F62" w:rsidRPr="003117B3" w:rsidRDefault="00161F62" w:rsidP="00AB5971">
            <w:pPr>
              <w:spacing w:line="276" w:lineRule="auto"/>
              <w:jc w:val="center"/>
              <w:rPr>
                <w:rFonts w:ascii="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Actul normativ naţional</w:t>
            </w:r>
          </w:p>
        </w:tc>
        <w:tc>
          <w:tcPr>
            <w:tcW w:w="336" w:type="pct"/>
            <w:tcBorders>
              <w:top w:val="single" w:sz="4" w:space="0" w:color="auto"/>
              <w:left w:val="single" w:sz="4" w:space="0" w:color="auto"/>
              <w:bottom w:val="single" w:sz="4" w:space="0" w:color="auto"/>
              <w:right w:val="single" w:sz="4" w:space="0" w:color="auto"/>
            </w:tcBorders>
            <w:vAlign w:val="center"/>
          </w:tcPr>
          <w:p w14:paraId="7D28725C" w14:textId="77777777" w:rsidR="00161F62" w:rsidRPr="003117B3" w:rsidRDefault="00161F62" w:rsidP="00AB5971">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Gradul de compatibilitate</w:t>
            </w:r>
          </w:p>
        </w:tc>
        <w:tc>
          <w:tcPr>
            <w:tcW w:w="1153" w:type="pct"/>
            <w:tcBorders>
              <w:top w:val="single" w:sz="4" w:space="0" w:color="auto"/>
              <w:left w:val="single" w:sz="4" w:space="0" w:color="auto"/>
              <w:bottom w:val="single" w:sz="4" w:space="0" w:color="auto"/>
              <w:right w:val="single" w:sz="4" w:space="0" w:color="auto"/>
            </w:tcBorders>
            <w:vAlign w:val="center"/>
          </w:tcPr>
          <w:p w14:paraId="13B82218" w14:textId="77777777" w:rsidR="00161F62" w:rsidRPr="003117B3" w:rsidRDefault="00161F62" w:rsidP="002531E7">
            <w:pPr>
              <w:spacing w:line="276" w:lineRule="auto"/>
              <w:rPr>
                <w:rFonts w:ascii="Times New Roman" w:hAnsi="Times New Roman" w:cs="Times New Roman"/>
                <w:color w:val="000000" w:themeColor="text1"/>
                <w:lang w:val="ro-MD"/>
              </w:rPr>
            </w:pPr>
            <w:r w:rsidRPr="003117B3">
              <w:rPr>
                <w:rFonts w:ascii="Times New Roman" w:eastAsia="Times New Roman" w:hAnsi="Times New Roman" w:cs="Times New Roman"/>
                <w:b/>
                <w:color w:val="000000" w:themeColor="text1"/>
                <w:lang w:val="ro-MD"/>
              </w:rPr>
              <w:t xml:space="preserve"> Observațiile Republicii Moldova</w:t>
            </w:r>
          </w:p>
        </w:tc>
        <w:tc>
          <w:tcPr>
            <w:tcW w:w="674" w:type="pct"/>
            <w:tcBorders>
              <w:top w:val="single" w:sz="4" w:space="0" w:color="auto"/>
              <w:left w:val="single" w:sz="4" w:space="0" w:color="auto"/>
              <w:bottom w:val="single" w:sz="4" w:space="0" w:color="auto"/>
              <w:right w:val="single" w:sz="4" w:space="0" w:color="auto"/>
            </w:tcBorders>
            <w:vAlign w:val="center"/>
          </w:tcPr>
          <w:p w14:paraId="1A00B123" w14:textId="77777777" w:rsidR="00161F62" w:rsidRPr="003117B3" w:rsidRDefault="00161F62" w:rsidP="00AB5971">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Observațiile Uniunii Europene</w:t>
            </w:r>
          </w:p>
        </w:tc>
      </w:tr>
      <w:tr w:rsidR="003117B3" w:rsidRPr="003117B3" w14:paraId="1937DC48" w14:textId="77777777" w:rsidTr="00161F62">
        <w:trPr>
          <w:trHeight w:val="253"/>
          <w:tblHeader/>
        </w:trPr>
        <w:tc>
          <w:tcPr>
            <w:tcW w:w="1588" w:type="pct"/>
            <w:tcBorders>
              <w:top w:val="single" w:sz="4" w:space="0" w:color="auto"/>
              <w:left w:val="single" w:sz="4" w:space="0" w:color="auto"/>
              <w:bottom w:val="single" w:sz="4" w:space="0" w:color="auto"/>
              <w:right w:val="single" w:sz="4" w:space="0" w:color="auto"/>
            </w:tcBorders>
            <w:vAlign w:val="center"/>
          </w:tcPr>
          <w:p w14:paraId="1880582C" w14:textId="77777777" w:rsidR="00161F62" w:rsidRPr="003117B3" w:rsidRDefault="00161F62" w:rsidP="00AB5971">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4</w:t>
            </w:r>
          </w:p>
        </w:tc>
        <w:tc>
          <w:tcPr>
            <w:tcW w:w="1249" w:type="pct"/>
            <w:tcBorders>
              <w:top w:val="single" w:sz="4" w:space="0" w:color="auto"/>
              <w:left w:val="single" w:sz="4" w:space="0" w:color="auto"/>
              <w:bottom w:val="single" w:sz="4" w:space="0" w:color="auto"/>
              <w:right w:val="single" w:sz="4" w:space="0" w:color="auto"/>
            </w:tcBorders>
            <w:vAlign w:val="center"/>
          </w:tcPr>
          <w:p w14:paraId="0EC3482F" w14:textId="77777777" w:rsidR="00161F62" w:rsidRPr="003117B3" w:rsidRDefault="00161F62" w:rsidP="00AB5971">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5</w:t>
            </w:r>
          </w:p>
        </w:tc>
        <w:tc>
          <w:tcPr>
            <w:tcW w:w="336" w:type="pct"/>
            <w:tcBorders>
              <w:top w:val="single" w:sz="4" w:space="0" w:color="auto"/>
              <w:left w:val="single" w:sz="4" w:space="0" w:color="auto"/>
              <w:bottom w:val="single" w:sz="4" w:space="0" w:color="auto"/>
              <w:right w:val="single" w:sz="4" w:space="0" w:color="auto"/>
            </w:tcBorders>
            <w:vAlign w:val="center"/>
          </w:tcPr>
          <w:p w14:paraId="74B4EF63" w14:textId="77777777" w:rsidR="00161F62" w:rsidRPr="003117B3" w:rsidRDefault="00161F62" w:rsidP="00AB5971">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6</w:t>
            </w:r>
          </w:p>
        </w:tc>
        <w:tc>
          <w:tcPr>
            <w:tcW w:w="1153" w:type="pct"/>
            <w:tcBorders>
              <w:top w:val="single" w:sz="4" w:space="0" w:color="auto"/>
              <w:left w:val="single" w:sz="4" w:space="0" w:color="auto"/>
              <w:bottom w:val="single" w:sz="4" w:space="0" w:color="auto"/>
              <w:right w:val="single" w:sz="4" w:space="0" w:color="auto"/>
            </w:tcBorders>
            <w:vAlign w:val="center"/>
          </w:tcPr>
          <w:p w14:paraId="5C50B1A2" w14:textId="77777777" w:rsidR="00161F62" w:rsidRPr="003117B3" w:rsidRDefault="00161F62" w:rsidP="00AB5971">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7</w:t>
            </w:r>
          </w:p>
        </w:tc>
        <w:tc>
          <w:tcPr>
            <w:tcW w:w="674" w:type="pct"/>
            <w:tcBorders>
              <w:top w:val="single" w:sz="4" w:space="0" w:color="auto"/>
              <w:left w:val="single" w:sz="4" w:space="0" w:color="auto"/>
              <w:bottom w:val="single" w:sz="4" w:space="0" w:color="auto"/>
              <w:right w:val="single" w:sz="4" w:space="0" w:color="auto"/>
            </w:tcBorders>
            <w:vAlign w:val="center"/>
          </w:tcPr>
          <w:p w14:paraId="1EBB79AE" w14:textId="77777777" w:rsidR="00161F62" w:rsidRPr="003117B3" w:rsidRDefault="00161F62" w:rsidP="00AB5971">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8</w:t>
            </w:r>
          </w:p>
        </w:tc>
      </w:tr>
      <w:tr w:rsidR="003117B3" w:rsidRPr="003117B3" w14:paraId="0E9D8C54"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tcPr>
          <w:p w14:paraId="0F0A885B" w14:textId="77777777" w:rsidR="00161F62" w:rsidRPr="003117B3" w:rsidRDefault="00161F62" w:rsidP="00DC122E">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it-IT"/>
              </w:rPr>
              <w:t>REGULAMENTUL NR. 575/2013 AL PARLAMENTULUI EUROPEAN ȘI AL CONSILIULUI din 26 iunie 2013 privind cerințele prudențiale pentru instituțiile de credit și firmele de investiții și de modificare a Regulamentului (UE) nr. 648/2012 (în continuare – CRR)</w:t>
            </w:r>
          </w:p>
        </w:tc>
        <w:tc>
          <w:tcPr>
            <w:tcW w:w="1249" w:type="pct"/>
          </w:tcPr>
          <w:p w14:paraId="221DC880" w14:textId="34548569" w:rsidR="00161F62" w:rsidRPr="003117B3" w:rsidRDefault="00161F62" w:rsidP="005E400C">
            <w:pPr>
              <w:spacing w:line="276" w:lineRule="auto"/>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 xml:space="preserve">Regulamentul privind </w:t>
            </w:r>
            <w:r w:rsidR="00F60133" w:rsidRPr="003117B3">
              <w:rPr>
                <w:rFonts w:ascii="Times New Roman" w:hAnsi="Times New Roman" w:cs="Times New Roman"/>
                <w:b/>
                <w:color w:val="000000" w:themeColor="text1"/>
                <w:lang w:val="it-IT"/>
              </w:rPr>
              <w:t xml:space="preserve">lichiditatea </w:t>
            </w:r>
            <w:r w:rsidRPr="003117B3">
              <w:rPr>
                <w:rFonts w:ascii="Times New Roman" w:hAnsi="Times New Roman" w:cs="Times New Roman"/>
                <w:b/>
                <w:color w:val="000000" w:themeColor="text1"/>
                <w:lang w:val="it-IT"/>
              </w:rPr>
              <w:t xml:space="preserve"> nr.44/2020</w:t>
            </w:r>
          </w:p>
          <w:p w14:paraId="6BA1AE3D" w14:textId="77777777" w:rsidR="00161F62" w:rsidRPr="003117B3" w:rsidRDefault="00161F62" w:rsidP="00AB5971">
            <w:pPr>
              <w:spacing w:line="276" w:lineRule="auto"/>
              <w:ind w:left="448"/>
              <w:rPr>
                <w:rFonts w:ascii="Times New Roman" w:hAnsi="Times New Roman" w:cs="Times New Roman"/>
                <w:b/>
                <w:color w:val="000000" w:themeColor="text1"/>
                <w:lang w:val="it-IT"/>
              </w:rPr>
            </w:pPr>
          </w:p>
        </w:tc>
        <w:tc>
          <w:tcPr>
            <w:tcW w:w="336" w:type="pct"/>
          </w:tcPr>
          <w:p w14:paraId="34A64EE6" w14:textId="77777777" w:rsidR="00161F62" w:rsidRPr="003117B3" w:rsidRDefault="00161F62" w:rsidP="00AB5971">
            <w:pPr>
              <w:spacing w:line="276" w:lineRule="auto"/>
              <w:rPr>
                <w:rFonts w:ascii="Times New Roman" w:hAnsi="Times New Roman" w:cs="Times New Roman"/>
                <w:color w:val="000000" w:themeColor="text1"/>
                <w:lang w:val="ro-MD"/>
              </w:rPr>
            </w:pPr>
          </w:p>
        </w:tc>
        <w:tc>
          <w:tcPr>
            <w:tcW w:w="1153" w:type="pct"/>
          </w:tcPr>
          <w:p w14:paraId="6B2DA764" w14:textId="77777777" w:rsidR="00161F62" w:rsidRPr="003117B3" w:rsidRDefault="00161F62" w:rsidP="00AB5971">
            <w:pPr>
              <w:spacing w:line="276" w:lineRule="auto"/>
              <w:rPr>
                <w:rFonts w:ascii="Times New Roman" w:hAnsi="Times New Roman" w:cs="Times New Roman"/>
                <w:color w:val="000000" w:themeColor="text1"/>
                <w:lang w:val="ro-MD"/>
              </w:rPr>
            </w:pPr>
          </w:p>
        </w:tc>
        <w:tc>
          <w:tcPr>
            <w:tcW w:w="674" w:type="pct"/>
          </w:tcPr>
          <w:p w14:paraId="517B9F5D" w14:textId="77777777" w:rsidR="00161F62" w:rsidRPr="003117B3" w:rsidRDefault="00161F62" w:rsidP="00AB5971">
            <w:pPr>
              <w:spacing w:line="276" w:lineRule="auto"/>
              <w:rPr>
                <w:rFonts w:ascii="Times New Roman" w:hAnsi="Times New Roman" w:cs="Times New Roman"/>
                <w:color w:val="000000" w:themeColor="text1"/>
                <w:lang w:val="ro-MD"/>
              </w:rPr>
            </w:pPr>
          </w:p>
        </w:tc>
      </w:tr>
      <w:tr w:rsidR="003117B3" w:rsidRPr="003117B3" w14:paraId="4B297DD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D1D2850" w14:textId="77777777" w:rsidR="00161F62" w:rsidRPr="003117B3" w:rsidRDefault="00161F62" w:rsidP="000D1546">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t>PARTEA ÎNTÂI</w:t>
            </w:r>
          </w:p>
          <w:p w14:paraId="72A06EEF" w14:textId="77777777" w:rsidR="00161F62" w:rsidRPr="003117B3" w:rsidRDefault="00161F62" w:rsidP="000D1546">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t>DISPOZIȚII GENERALE</w:t>
            </w:r>
          </w:p>
          <w:p w14:paraId="0FCCB9EB" w14:textId="77777777" w:rsidR="00161F62" w:rsidRPr="003117B3" w:rsidRDefault="00161F62" w:rsidP="000D1546">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lastRenderedPageBreak/>
              <w:t xml:space="preserve">TITLUL I   </w:t>
            </w:r>
          </w:p>
          <w:p w14:paraId="3C051FD9" w14:textId="77777777" w:rsidR="00161F62" w:rsidRPr="003117B3" w:rsidRDefault="00161F62" w:rsidP="000D1546">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t>OBIECT, DOMENIU DE APLICARE ȘI DEFINIȚII</w:t>
            </w:r>
          </w:p>
          <w:p w14:paraId="2BA39981" w14:textId="77777777" w:rsidR="00161F62" w:rsidRPr="003117B3" w:rsidRDefault="00161F62" w:rsidP="000D1546">
            <w:pPr>
              <w:spacing w:after="0" w:line="240" w:lineRule="auto"/>
              <w:rPr>
                <w:rFonts w:ascii="Times New Roman" w:hAnsi="Times New Roman" w:cs="Times New Roman"/>
                <w:b/>
                <w:color w:val="000000" w:themeColor="text1"/>
                <w:lang w:val="ro-RO"/>
              </w:rPr>
            </w:pPr>
          </w:p>
        </w:tc>
        <w:tc>
          <w:tcPr>
            <w:tcW w:w="1249" w:type="pct"/>
          </w:tcPr>
          <w:p w14:paraId="3E44C341" w14:textId="298ECD6F" w:rsidR="00161F62" w:rsidRPr="003117B3" w:rsidRDefault="00F60133" w:rsidP="000D1546">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lastRenderedPageBreak/>
              <w:t xml:space="preserve">TITLUL </w:t>
            </w:r>
            <w:r w:rsidR="00161F62" w:rsidRPr="003117B3">
              <w:rPr>
                <w:rFonts w:ascii="Times New Roman" w:hAnsi="Times New Roman" w:cs="Times New Roman"/>
                <w:b/>
                <w:color w:val="000000" w:themeColor="text1"/>
                <w:lang w:val="ro-RO"/>
              </w:rPr>
              <w:t xml:space="preserve">I. </w:t>
            </w:r>
          </w:p>
          <w:p w14:paraId="6F0362D6" w14:textId="77777777" w:rsidR="00161F62" w:rsidRPr="003117B3" w:rsidRDefault="00161F62" w:rsidP="000D1546">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t>DISPOZIȚII GENERALE</w:t>
            </w:r>
          </w:p>
          <w:p w14:paraId="6FF39DDB" w14:textId="77777777" w:rsidR="00161F62" w:rsidRPr="003117B3" w:rsidRDefault="00161F62" w:rsidP="000D1546">
            <w:pPr>
              <w:spacing w:after="0" w:line="240" w:lineRule="auto"/>
              <w:rPr>
                <w:rFonts w:ascii="Times New Roman" w:hAnsi="Times New Roman" w:cs="Times New Roman"/>
                <w:b/>
                <w:color w:val="000000" w:themeColor="text1"/>
                <w:lang w:val="ro-RO"/>
              </w:rPr>
            </w:pPr>
          </w:p>
        </w:tc>
        <w:tc>
          <w:tcPr>
            <w:tcW w:w="336" w:type="pct"/>
          </w:tcPr>
          <w:p w14:paraId="6FFBCCF9" w14:textId="77777777" w:rsidR="00161F62" w:rsidRPr="003117B3" w:rsidRDefault="00161F62" w:rsidP="00AB5971">
            <w:pPr>
              <w:spacing w:line="276" w:lineRule="auto"/>
              <w:jc w:val="both"/>
              <w:rPr>
                <w:rFonts w:ascii="Times New Roman" w:hAnsi="Times New Roman" w:cs="Times New Roman"/>
                <w:color w:val="000000" w:themeColor="text1"/>
                <w:lang w:val="ro-MD"/>
              </w:rPr>
            </w:pPr>
          </w:p>
        </w:tc>
        <w:tc>
          <w:tcPr>
            <w:tcW w:w="1153" w:type="pct"/>
          </w:tcPr>
          <w:p w14:paraId="29F35462" w14:textId="77777777" w:rsidR="00161F62" w:rsidRPr="003117B3" w:rsidRDefault="00161F62" w:rsidP="00AB5971">
            <w:pPr>
              <w:spacing w:line="276" w:lineRule="auto"/>
              <w:jc w:val="both"/>
              <w:rPr>
                <w:rFonts w:ascii="Times New Roman" w:hAnsi="Times New Roman" w:cs="Times New Roman"/>
                <w:color w:val="000000" w:themeColor="text1"/>
                <w:lang w:val="ro-MD"/>
              </w:rPr>
            </w:pPr>
          </w:p>
        </w:tc>
        <w:tc>
          <w:tcPr>
            <w:tcW w:w="674" w:type="pct"/>
          </w:tcPr>
          <w:p w14:paraId="76F90B0A" w14:textId="77777777" w:rsidR="00161F62" w:rsidRPr="003117B3" w:rsidRDefault="00161F62" w:rsidP="00AB5971">
            <w:pPr>
              <w:spacing w:line="276" w:lineRule="auto"/>
              <w:jc w:val="both"/>
              <w:rPr>
                <w:rFonts w:ascii="Times New Roman" w:hAnsi="Times New Roman" w:cs="Times New Roman"/>
                <w:color w:val="000000" w:themeColor="text1"/>
                <w:lang w:val="ro-MD"/>
              </w:rPr>
            </w:pPr>
          </w:p>
        </w:tc>
      </w:tr>
      <w:tr w:rsidR="003117B3" w:rsidRPr="003117B3" w14:paraId="29D95745"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1CE4B40" w14:textId="77777777" w:rsidR="00161F62" w:rsidRPr="003117B3" w:rsidRDefault="00161F62" w:rsidP="000D1546">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Articolul 1</w:t>
            </w:r>
          </w:p>
          <w:p w14:paraId="32298010" w14:textId="77777777" w:rsidR="00161F62" w:rsidRPr="003117B3" w:rsidRDefault="00161F62" w:rsidP="000D1546">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Domeniu  de  aplicare</w:t>
            </w:r>
          </w:p>
        </w:tc>
        <w:tc>
          <w:tcPr>
            <w:tcW w:w="1249" w:type="pct"/>
          </w:tcPr>
          <w:p w14:paraId="7D22A6EC" w14:textId="77777777" w:rsidR="00161F62" w:rsidRPr="003117B3" w:rsidRDefault="00161F62" w:rsidP="00D601F0">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Secțiunea 1. Aplicarea cerințelor de lichiditate</w:t>
            </w:r>
          </w:p>
        </w:tc>
        <w:tc>
          <w:tcPr>
            <w:tcW w:w="336" w:type="pct"/>
          </w:tcPr>
          <w:p w14:paraId="356AA605" w14:textId="77777777" w:rsidR="00161F62" w:rsidRPr="003117B3" w:rsidRDefault="00161F62" w:rsidP="00AB5971">
            <w:pPr>
              <w:spacing w:line="276" w:lineRule="auto"/>
              <w:jc w:val="both"/>
              <w:rPr>
                <w:rFonts w:ascii="Times New Roman" w:hAnsi="Times New Roman" w:cs="Times New Roman"/>
                <w:color w:val="000000" w:themeColor="text1"/>
                <w:lang w:val="ro-MD"/>
              </w:rPr>
            </w:pPr>
          </w:p>
        </w:tc>
        <w:tc>
          <w:tcPr>
            <w:tcW w:w="1153" w:type="pct"/>
          </w:tcPr>
          <w:p w14:paraId="576FD213" w14:textId="77777777" w:rsidR="00161F62" w:rsidRPr="003117B3" w:rsidRDefault="00161F62" w:rsidP="00AB5971">
            <w:pPr>
              <w:spacing w:line="276" w:lineRule="auto"/>
              <w:jc w:val="both"/>
              <w:rPr>
                <w:rFonts w:ascii="Times New Roman" w:hAnsi="Times New Roman" w:cs="Times New Roman"/>
                <w:color w:val="000000" w:themeColor="text1"/>
                <w:lang w:val="ro-MD"/>
              </w:rPr>
            </w:pPr>
          </w:p>
        </w:tc>
        <w:tc>
          <w:tcPr>
            <w:tcW w:w="674" w:type="pct"/>
          </w:tcPr>
          <w:p w14:paraId="77DB0EF2" w14:textId="77777777" w:rsidR="00161F62" w:rsidRPr="003117B3" w:rsidRDefault="00161F62" w:rsidP="00AB5971">
            <w:pPr>
              <w:spacing w:line="276" w:lineRule="auto"/>
              <w:jc w:val="both"/>
              <w:rPr>
                <w:rFonts w:ascii="Times New Roman" w:hAnsi="Times New Roman" w:cs="Times New Roman"/>
                <w:color w:val="000000" w:themeColor="text1"/>
                <w:lang w:val="ro-MD"/>
              </w:rPr>
            </w:pPr>
          </w:p>
        </w:tc>
      </w:tr>
      <w:tr w:rsidR="003117B3" w:rsidRPr="003117B3" w14:paraId="477951E6"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1F5C790" w14:textId="3DBEEEEF" w:rsidR="00161F62" w:rsidRPr="003117B3" w:rsidRDefault="00161F62" w:rsidP="00750CFA">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Prezentul regulament stabilește  reguli uniforme privind cerințele prudențiale  generale  pe  le  îndeplinesc  instituțiile</w:t>
            </w:r>
            <w:r w:rsidR="00750CFA" w:rsidRPr="003117B3">
              <w:rPr>
                <w:rFonts w:ascii="Times New Roman" w:hAnsi="Times New Roman" w:cs="Times New Roman"/>
                <w:color w:val="000000" w:themeColor="text1"/>
                <w:lang w:val="ro-MD"/>
              </w:rPr>
              <w:t>,</w:t>
            </w:r>
            <w:r w:rsidR="00750CFA" w:rsidRPr="003117B3">
              <w:rPr>
                <w:color w:val="000000" w:themeColor="text1"/>
                <w:lang w:val="it-IT"/>
              </w:rPr>
              <w:t xml:space="preserve"> </w:t>
            </w:r>
            <w:r w:rsidR="00750CFA" w:rsidRPr="003117B3">
              <w:rPr>
                <w:rFonts w:ascii="Times New Roman" w:hAnsi="Times New Roman" w:cs="Times New Roman"/>
                <w:color w:val="000000" w:themeColor="text1"/>
                <w:lang w:val="ro-MD"/>
              </w:rPr>
              <w:t>societăţile financiare holding și societăţile financiare holding mixte</w:t>
            </w:r>
            <w:r w:rsidRPr="003117B3">
              <w:rPr>
                <w:rFonts w:ascii="Times New Roman" w:hAnsi="Times New Roman" w:cs="Times New Roman"/>
                <w:color w:val="000000" w:themeColor="text1"/>
                <w:lang w:val="ro-MD"/>
              </w:rPr>
              <w:t xml:space="preserve">  supravegheate în  temeiul  Directivei  2013/36/UE,  în  ceea  ce  privește următoarele  elemente: </w:t>
            </w:r>
          </w:p>
          <w:p w14:paraId="1CF59C75" w14:textId="666BEF51" w:rsidR="00161F62" w:rsidRPr="003117B3" w:rsidRDefault="00161F62" w:rsidP="00DC122E">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(c)  cerințe  de  lichiditate  referitoare  la elemente în  întregime  cuantificabile,  uniforme  și  standardizate ale riscului  de  lichiditate; </w:t>
            </w:r>
          </w:p>
          <w:p w14:paraId="157FF060" w14:textId="616ACC75" w:rsidR="00161F62" w:rsidRPr="003117B3" w:rsidRDefault="00750CFA" w:rsidP="00D278DB">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 cerinţe de raportare referitoare la literele (a), (b) și (c);</w:t>
            </w:r>
          </w:p>
        </w:tc>
        <w:tc>
          <w:tcPr>
            <w:tcW w:w="1249" w:type="pct"/>
          </w:tcPr>
          <w:p w14:paraId="102CE4DF" w14:textId="30DF3D08" w:rsidR="00750CFA" w:rsidRPr="003117B3" w:rsidRDefault="00161F62" w:rsidP="00E8434C">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1. Prezentul regulament stabilește reguli pe care trebuie să le îndeplinească băncile persoane juridice din Republica Moldova, precum şi sucursalele din Republica Moldova ale băncilor din alte state (în continuare – „bănci”) în scopul definirii</w:t>
            </w:r>
            <w:r w:rsidR="008752D6" w:rsidRPr="003117B3">
              <w:rPr>
                <w:rFonts w:ascii="Times New Roman" w:hAnsi="Times New Roman" w:cs="Times New Roman"/>
                <w:color w:val="000000" w:themeColor="text1"/>
                <w:lang w:val="ro-MD"/>
              </w:rPr>
              <w:t>,</w:t>
            </w:r>
            <w:r w:rsidR="00D278DB" w:rsidRPr="003117B3">
              <w:rPr>
                <w:rFonts w:ascii="Times New Roman" w:hAnsi="Times New Roman" w:cs="Times New Roman"/>
                <w:color w:val="000000" w:themeColor="text1"/>
                <w:lang w:val="ro-MD"/>
              </w:rPr>
              <w:t xml:space="preserve"> </w:t>
            </w:r>
            <w:r w:rsidRPr="003117B3">
              <w:rPr>
                <w:rFonts w:ascii="Times New Roman" w:hAnsi="Times New Roman" w:cs="Times New Roman"/>
                <w:color w:val="000000" w:themeColor="text1"/>
                <w:lang w:val="ro-MD"/>
              </w:rPr>
              <w:t>calculării</w:t>
            </w:r>
            <w:r w:rsidR="008752D6" w:rsidRPr="003117B3">
              <w:rPr>
                <w:rFonts w:ascii="Times New Roman" w:hAnsi="Times New Roman" w:cs="Times New Roman"/>
                <w:color w:val="000000" w:themeColor="text1"/>
                <w:lang w:val="ro-MD"/>
              </w:rPr>
              <w:t xml:space="preserve"> și raportării</w:t>
            </w:r>
            <w:r w:rsidR="00750CFA" w:rsidRPr="003117B3">
              <w:rPr>
                <w:rFonts w:ascii="Times New Roman" w:hAnsi="Times New Roman" w:cs="Times New Roman"/>
                <w:color w:val="000000" w:themeColor="text1"/>
                <w:lang w:val="ro-MD"/>
              </w:rPr>
              <w:t>:</w:t>
            </w:r>
            <w:r w:rsidRPr="003117B3">
              <w:rPr>
                <w:rFonts w:ascii="Times New Roman" w:hAnsi="Times New Roman" w:cs="Times New Roman"/>
                <w:color w:val="000000" w:themeColor="text1"/>
                <w:lang w:val="ro-MD"/>
              </w:rPr>
              <w:t xml:space="preserve"> </w:t>
            </w:r>
          </w:p>
          <w:p w14:paraId="56B0B15A" w14:textId="5359BD34" w:rsidR="00161F62" w:rsidRPr="003117B3" w:rsidRDefault="00750CFA" w:rsidP="00E8434C">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 </w:t>
            </w:r>
            <w:r w:rsidR="00161F62" w:rsidRPr="003117B3">
              <w:rPr>
                <w:rFonts w:ascii="Times New Roman" w:hAnsi="Times New Roman" w:cs="Times New Roman"/>
                <w:color w:val="000000" w:themeColor="text1"/>
                <w:lang w:val="ro-MD"/>
              </w:rPr>
              <w:t>cerinței de acoperire a necesarului de lichiditate, ca raport între rezerva de lichidități și ieșirile nete de lichidități ale băncii în decursul unei perioade de criză gravă (în continuare – „criză”) de 30 de zile</w:t>
            </w:r>
          </w:p>
          <w:p w14:paraId="68354B5E" w14:textId="67932F30" w:rsidR="00750CFA" w:rsidRPr="003117B3" w:rsidRDefault="00750CFA" w:rsidP="00E8434C">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 </w:t>
            </w:r>
            <w:r w:rsidRPr="003117B3">
              <w:rPr>
                <w:rFonts w:ascii="Times New Roman" w:hAnsi="Times New Roman" w:cs="Times New Roman"/>
                <w:color w:val="000000" w:themeColor="text1"/>
                <w:lang w:val="ro-RO"/>
              </w:rPr>
              <w:t>cerinței de finanțare stabilă, ca raport dintre finanţarea stabilă disponibilă a băncii și finanţarea stabilă necesară acesteia.</w:t>
            </w:r>
          </w:p>
        </w:tc>
        <w:tc>
          <w:tcPr>
            <w:tcW w:w="336" w:type="pct"/>
          </w:tcPr>
          <w:p w14:paraId="5F9953B3" w14:textId="77777777" w:rsidR="00161F62" w:rsidRPr="003117B3" w:rsidRDefault="00161F62" w:rsidP="00AB5971">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182CF237" w14:textId="77777777" w:rsidR="00161F62" w:rsidRPr="003117B3" w:rsidRDefault="00161F62" w:rsidP="00AB5971">
            <w:pPr>
              <w:spacing w:line="276" w:lineRule="auto"/>
              <w:jc w:val="both"/>
              <w:rPr>
                <w:rFonts w:ascii="Times New Roman" w:hAnsi="Times New Roman" w:cs="Times New Roman"/>
                <w:color w:val="000000" w:themeColor="text1"/>
                <w:lang w:val="ro-MD"/>
              </w:rPr>
            </w:pPr>
          </w:p>
        </w:tc>
        <w:tc>
          <w:tcPr>
            <w:tcW w:w="674" w:type="pct"/>
          </w:tcPr>
          <w:p w14:paraId="0F54E8F2" w14:textId="77777777" w:rsidR="00161F62" w:rsidRPr="003117B3" w:rsidRDefault="00161F62" w:rsidP="00AB5971">
            <w:pPr>
              <w:spacing w:line="276" w:lineRule="auto"/>
              <w:jc w:val="both"/>
              <w:rPr>
                <w:rFonts w:ascii="Times New Roman" w:hAnsi="Times New Roman" w:cs="Times New Roman"/>
                <w:color w:val="000000" w:themeColor="text1"/>
                <w:lang w:val="ro-MD"/>
              </w:rPr>
            </w:pPr>
          </w:p>
        </w:tc>
      </w:tr>
      <w:tr w:rsidR="003117B3" w:rsidRPr="003117B3" w14:paraId="450E5E2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447B10F" w14:textId="77777777" w:rsidR="00161F62" w:rsidRPr="003117B3" w:rsidRDefault="00161F62" w:rsidP="00DB0224">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lastRenderedPageBreak/>
              <w:t>PARTEA A ȘASEA</w:t>
            </w:r>
          </w:p>
          <w:p w14:paraId="1D605163" w14:textId="77777777" w:rsidR="00161F62" w:rsidRPr="003117B3" w:rsidRDefault="00161F62" w:rsidP="00DB0224">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t xml:space="preserve">LICHIDITATEA </w:t>
            </w:r>
          </w:p>
          <w:p w14:paraId="131EFAA4" w14:textId="77777777" w:rsidR="00161F62" w:rsidRPr="003117B3" w:rsidRDefault="00161F62" w:rsidP="00DB0224">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t>TITLUL I</w:t>
            </w:r>
          </w:p>
          <w:p w14:paraId="0A24DF2A" w14:textId="6857CDBB" w:rsidR="00ED57A2" w:rsidRPr="003117B3" w:rsidRDefault="00161F62" w:rsidP="003117B3">
            <w:pPr>
              <w:spacing w:after="0" w:line="240" w:lineRule="auto"/>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t xml:space="preserve">DEFINIȚII ȘI </w:t>
            </w:r>
            <w:r w:rsidR="00ED57A2" w:rsidRPr="003117B3">
              <w:rPr>
                <w:rFonts w:ascii="Times New Roman" w:hAnsi="Times New Roman" w:cs="Times New Roman"/>
                <w:b/>
                <w:color w:val="000000" w:themeColor="text1"/>
                <w:lang w:val="ro-RO"/>
              </w:rPr>
              <w:t>CERINȚE DE LICHIDITATE</w:t>
            </w:r>
          </w:p>
        </w:tc>
        <w:tc>
          <w:tcPr>
            <w:tcW w:w="1249" w:type="pct"/>
          </w:tcPr>
          <w:p w14:paraId="4392149E" w14:textId="77777777" w:rsidR="00161F62" w:rsidRPr="003117B3" w:rsidRDefault="00161F62" w:rsidP="00DB0224">
            <w:pPr>
              <w:spacing w:after="0" w:line="240" w:lineRule="auto"/>
              <w:rPr>
                <w:rFonts w:ascii="Times New Roman" w:hAnsi="Times New Roman" w:cs="Times New Roman"/>
                <w:b/>
                <w:color w:val="000000" w:themeColor="text1"/>
                <w:lang w:val="ro-RO"/>
              </w:rPr>
            </w:pPr>
          </w:p>
        </w:tc>
        <w:tc>
          <w:tcPr>
            <w:tcW w:w="336" w:type="pct"/>
          </w:tcPr>
          <w:p w14:paraId="562DBA61" w14:textId="77777777" w:rsidR="00161F62" w:rsidRPr="003117B3" w:rsidRDefault="00161F62" w:rsidP="00DB0224">
            <w:pPr>
              <w:spacing w:after="0" w:line="240" w:lineRule="auto"/>
              <w:rPr>
                <w:rFonts w:ascii="Times New Roman" w:hAnsi="Times New Roman" w:cs="Times New Roman"/>
                <w:b/>
                <w:color w:val="000000" w:themeColor="text1"/>
                <w:lang w:val="ro-RO"/>
              </w:rPr>
            </w:pPr>
          </w:p>
        </w:tc>
        <w:tc>
          <w:tcPr>
            <w:tcW w:w="1153" w:type="pct"/>
          </w:tcPr>
          <w:p w14:paraId="3353F1EE" w14:textId="77777777" w:rsidR="00161F62" w:rsidRPr="003117B3" w:rsidRDefault="00161F62" w:rsidP="00DB0224">
            <w:pPr>
              <w:spacing w:after="0" w:line="240" w:lineRule="auto"/>
              <w:rPr>
                <w:rFonts w:ascii="Times New Roman" w:hAnsi="Times New Roman" w:cs="Times New Roman"/>
                <w:b/>
                <w:color w:val="000000" w:themeColor="text1"/>
                <w:lang w:val="ro-RO"/>
              </w:rPr>
            </w:pPr>
          </w:p>
        </w:tc>
        <w:tc>
          <w:tcPr>
            <w:tcW w:w="674" w:type="pct"/>
          </w:tcPr>
          <w:p w14:paraId="3675175F" w14:textId="77777777" w:rsidR="00161F62" w:rsidRPr="003117B3" w:rsidRDefault="00161F62" w:rsidP="00DB0224">
            <w:pPr>
              <w:spacing w:after="0" w:line="240" w:lineRule="auto"/>
              <w:rPr>
                <w:rFonts w:ascii="Times New Roman" w:hAnsi="Times New Roman" w:cs="Times New Roman"/>
                <w:b/>
                <w:color w:val="000000" w:themeColor="text1"/>
                <w:lang w:val="ro-RO"/>
              </w:rPr>
            </w:pPr>
          </w:p>
        </w:tc>
      </w:tr>
      <w:tr w:rsidR="003117B3" w:rsidRPr="003117B3" w14:paraId="0073133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33F7C79" w14:textId="77777777" w:rsidR="00161F62" w:rsidRPr="003117B3" w:rsidRDefault="00161F62" w:rsidP="000D1546">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Articolul 411</w:t>
            </w:r>
          </w:p>
          <w:p w14:paraId="45971A87" w14:textId="77777777" w:rsidR="00161F62" w:rsidRPr="003117B3" w:rsidRDefault="00161F62" w:rsidP="000D1546">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Definiții</w:t>
            </w:r>
          </w:p>
        </w:tc>
        <w:tc>
          <w:tcPr>
            <w:tcW w:w="1249" w:type="pct"/>
          </w:tcPr>
          <w:p w14:paraId="50E18E73" w14:textId="77777777" w:rsidR="00161F62" w:rsidRPr="003117B3" w:rsidRDefault="00161F62" w:rsidP="00AB5971">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Secțiunea 2. Definiții</w:t>
            </w:r>
          </w:p>
        </w:tc>
        <w:tc>
          <w:tcPr>
            <w:tcW w:w="336" w:type="pct"/>
          </w:tcPr>
          <w:p w14:paraId="7822B0B5" w14:textId="77777777" w:rsidR="00161F62" w:rsidRPr="003117B3" w:rsidRDefault="00161F62" w:rsidP="000D1546">
            <w:pPr>
              <w:spacing w:after="0" w:line="276" w:lineRule="auto"/>
              <w:jc w:val="both"/>
              <w:rPr>
                <w:rFonts w:ascii="Times New Roman" w:hAnsi="Times New Roman" w:cs="Times New Roman"/>
                <w:b/>
                <w:color w:val="000000" w:themeColor="text1"/>
                <w:lang w:val="ro-MD"/>
              </w:rPr>
            </w:pPr>
          </w:p>
        </w:tc>
        <w:tc>
          <w:tcPr>
            <w:tcW w:w="1153" w:type="pct"/>
          </w:tcPr>
          <w:p w14:paraId="65E21546" w14:textId="77777777" w:rsidR="00161F62" w:rsidRPr="003117B3" w:rsidRDefault="00161F62" w:rsidP="000D1546">
            <w:pPr>
              <w:spacing w:after="0" w:line="276" w:lineRule="auto"/>
              <w:jc w:val="both"/>
              <w:rPr>
                <w:rFonts w:ascii="Times New Roman" w:hAnsi="Times New Roman" w:cs="Times New Roman"/>
                <w:b/>
                <w:color w:val="000000" w:themeColor="text1"/>
                <w:lang w:val="ro-MD"/>
              </w:rPr>
            </w:pPr>
          </w:p>
        </w:tc>
        <w:tc>
          <w:tcPr>
            <w:tcW w:w="674" w:type="pct"/>
          </w:tcPr>
          <w:p w14:paraId="2D5712A5" w14:textId="77777777" w:rsidR="00161F62" w:rsidRPr="003117B3" w:rsidRDefault="00161F62" w:rsidP="000D1546">
            <w:pPr>
              <w:spacing w:after="0" w:line="276" w:lineRule="auto"/>
              <w:jc w:val="both"/>
              <w:rPr>
                <w:rFonts w:ascii="Times New Roman" w:hAnsi="Times New Roman" w:cs="Times New Roman"/>
                <w:b/>
                <w:color w:val="000000" w:themeColor="text1"/>
                <w:lang w:val="ro-MD"/>
              </w:rPr>
            </w:pPr>
          </w:p>
        </w:tc>
      </w:tr>
      <w:tr w:rsidR="003117B3" w:rsidRPr="003117B3" w14:paraId="77C2EC37"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9B50590"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(1)</w:t>
            </w:r>
            <w:r w:rsidRPr="003117B3">
              <w:rPr>
                <w:rFonts w:ascii="Times New Roman" w:hAnsi="Times New Roman" w:cs="Times New Roman"/>
                <w:b/>
                <w:color w:val="000000" w:themeColor="text1"/>
                <w:lang w:val="ro-MD"/>
              </w:rPr>
              <w:t xml:space="preserve"> </w:t>
            </w:r>
            <w:r w:rsidRPr="003117B3">
              <w:rPr>
                <w:rFonts w:ascii="Times New Roman" w:hAnsi="Times New Roman" w:cs="Times New Roman"/>
                <w:color w:val="000000" w:themeColor="text1"/>
                <w:lang w:val="ro-MD"/>
              </w:rPr>
              <w:t>În sensul prezentei părți, se aplică următoarele definiții:</w:t>
            </w:r>
          </w:p>
          <w:p w14:paraId="34F1D802" w14:textId="4AB2E487" w:rsidR="000876FD" w:rsidRPr="003117B3" w:rsidRDefault="000876FD" w:rsidP="00CF0545">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 </w:t>
            </w:r>
          </w:p>
          <w:p w14:paraId="3CF88D1C"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1. «client financiar» înseamnă un client, inclusiv un client financiar aparținând unui grup de societăți nefinanciare, care desfășoară una sau mai multe dintre activitățile enumerate în anexa I la Directiva 2013/36/UE ca activitate principală sau este una dintre următoarele: </w:t>
            </w:r>
          </w:p>
          <w:p w14:paraId="264A307C"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(a) o instituție de credit; </w:t>
            </w:r>
          </w:p>
          <w:p w14:paraId="0732B933"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(b) o firmă de investiții; </w:t>
            </w:r>
          </w:p>
          <w:p w14:paraId="3FF79D30"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(c) o entitate special constituită în scopul securitizării («SSPE»); </w:t>
            </w:r>
          </w:p>
          <w:p w14:paraId="1956151A"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(d) un organism de plasament colectiv («OPC»); </w:t>
            </w:r>
          </w:p>
          <w:p w14:paraId="1674580C"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(e) un fond de investiții cu capital fix; </w:t>
            </w:r>
          </w:p>
          <w:p w14:paraId="0862706C"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lastRenderedPageBreak/>
              <w:t xml:space="preserve">(f) o întreprindere de asigurare; </w:t>
            </w:r>
          </w:p>
          <w:p w14:paraId="437F8B38"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(g) o întreprindere de reasigurare; </w:t>
            </w:r>
          </w:p>
          <w:p w14:paraId="0F0CAEBA"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(h) o societate financiară holding sau o societate financiară holding mixtă; </w:t>
            </w:r>
          </w:p>
          <w:p w14:paraId="7497BEB4"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(i) o instituție financiară; </w:t>
            </w:r>
          </w:p>
          <w:p w14:paraId="7C7BF4E0"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(j) un sistem de pensii, astfel cum este definit la articolul 2 punctul 10 din Regulamentul (UE) nr. 648/2012.</w:t>
            </w:r>
          </w:p>
        </w:tc>
        <w:tc>
          <w:tcPr>
            <w:tcW w:w="1249" w:type="pct"/>
          </w:tcPr>
          <w:p w14:paraId="1ED7C189" w14:textId="77777777" w:rsidR="005D614E" w:rsidRPr="003117B3" w:rsidRDefault="005D614E" w:rsidP="005D614E">
            <w:pPr>
              <w:spacing w:after="0" w:line="276" w:lineRule="auto"/>
              <w:jc w:val="both"/>
              <w:rPr>
                <w:rFonts w:ascii="Times New Roman" w:hAnsi="Times New Roman" w:cs="Times New Roman"/>
                <w:bCs/>
                <w:color w:val="000000" w:themeColor="text1"/>
                <w:lang w:val="ro-RO"/>
              </w:rPr>
            </w:pPr>
            <w:r w:rsidRPr="003117B3">
              <w:rPr>
                <w:rFonts w:ascii="Times New Roman" w:hAnsi="Times New Roman" w:cs="Times New Roman"/>
                <w:bCs/>
                <w:color w:val="000000" w:themeColor="text1"/>
                <w:lang w:val="ro-RO"/>
              </w:rPr>
              <w:lastRenderedPageBreak/>
              <w:t>3) „client financiar” înseamnă un client care desfășoară ca activitate principală una sau mai multe dintre activitățile enumerate la art.14 din Legea nr.202/2017 sau este una dintre următoarele entități:</w:t>
            </w:r>
          </w:p>
          <w:p w14:paraId="56285985" w14:textId="77777777" w:rsidR="005D614E" w:rsidRPr="003117B3" w:rsidRDefault="005D614E" w:rsidP="005D614E">
            <w:pPr>
              <w:spacing w:after="0" w:line="276" w:lineRule="auto"/>
              <w:jc w:val="both"/>
              <w:rPr>
                <w:rFonts w:ascii="Times New Roman" w:hAnsi="Times New Roman" w:cs="Times New Roman"/>
                <w:bCs/>
                <w:color w:val="000000" w:themeColor="text1"/>
                <w:lang w:val="ro-RO"/>
              </w:rPr>
            </w:pPr>
            <w:r w:rsidRPr="003117B3">
              <w:rPr>
                <w:rFonts w:ascii="Times New Roman" w:hAnsi="Times New Roman" w:cs="Times New Roman"/>
                <w:bCs/>
                <w:color w:val="000000" w:themeColor="text1"/>
                <w:lang w:val="ro-RO"/>
              </w:rPr>
              <w:t>a) o bancă;</w:t>
            </w:r>
          </w:p>
          <w:p w14:paraId="64FF185C" w14:textId="77777777" w:rsidR="005D614E" w:rsidRPr="003117B3" w:rsidRDefault="005D614E" w:rsidP="005D614E">
            <w:pPr>
              <w:spacing w:after="0" w:line="276" w:lineRule="auto"/>
              <w:jc w:val="both"/>
              <w:rPr>
                <w:rFonts w:ascii="Times New Roman" w:hAnsi="Times New Roman" w:cs="Times New Roman"/>
                <w:bCs/>
                <w:color w:val="000000" w:themeColor="text1"/>
                <w:lang w:val="ro-RO"/>
              </w:rPr>
            </w:pPr>
            <w:r w:rsidRPr="003117B3">
              <w:rPr>
                <w:rFonts w:ascii="Times New Roman" w:hAnsi="Times New Roman" w:cs="Times New Roman"/>
                <w:bCs/>
                <w:color w:val="000000" w:themeColor="text1"/>
                <w:lang w:val="ro-RO"/>
              </w:rPr>
              <w:t>b) o societate de investiții;</w:t>
            </w:r>
          </w:p>
          <w:p w14:paraId="2956617B" w14:textId="77777777" w:rsidR="005D614E" w:rsidRPr="003117B3" w:rsidRDefault="005D614E" w:rsidP="005D614E">
            <w:pPr>
              <w:spacing w:after="0" w:line="276" w:lineRule="auto"/>
              <w:jc w:val="both"/>
              <w:rPr>
                <w:rFonts w:ascii="Times New Roman" w:hAnsi="Times New Roman" w:cs="Times New Roman"/>
                <w:bCs/>
                <w:color w:val="000000" w:themeColor="text1"/>
                <w:lang w:val="ro-RO"/>
              </w:rPr>
            </w:pPr>
            <w:r w:rsidRPr="003117B3">
              <w:rPr>
                <w:rFonts w:ascii="Times New Roman" w:hAnsi="Times New Roman" w:cs="Times New Roman"/>
                <w:bCs/>
                <w:color w:val="000000" w:themeColor="text1"/>
                <w:lang w:val="ro-RO"/>
              </w:rPr>
              <w:t>c) o societate financiară nonbancară;</w:t>
            </w:r>
          </w:p>
          <w:p w14:paraId="71E68046" w14:textId="77777777" w:rsidR="005D614E" w:rsidRPr="003117B3" w:rsidRDefault="005D614E" w:rsidP="005D614E">
            <w:pPr>
              <w:spacing w:after="0" w:line="276" w:lineRule="auto"/>
              <w:jc w:val="both"/>
              <w:rPr>
                <w:rFonts w:ascii="Times New Roman" w:hAnsi="Times New Roman" w:cs="Times New Roman"/>
                <w:bCs/>
                <w:color w:val="000000" w:themeColor="text1"/>
                <w:lang w:val="ro-RO"/>
              </w:rPr>
            </w:pPr>
            <w:r w:rsidRPr="003117B3">
              <w:rPr>
                <w:rFonts w:ascii="Times New Roman" w:hAnsi="Times New Roman" w:cs="Times New Roman"/>
                <w:bCs/>
                <w:color w:val="000000" w:themeColor="text1"/>
                <w:lang w:val="ro-RO"/>
              </w:rPr>
              <w:t>d) un organism de plasament colectiv (în continuare - „OPC”);</w:t>
            </w:r>
          </w:p>
          <w:p w14:paraId="32D40068" w14:textId="77777777" w:rsidR="005D614E" w:rsidRPr="003117B3" w:rsidRDefault="005D614E" w:rsidP="005D614E">
            <w:pPr>
              <w:spacing w:after="0" w:line="276" w:lineRule="auto"/>
              <w:jc w:val="both"/>
              <w:rPr>
                <w:rFonts w:ascii="Times New Roman" w:hAnsi="Times New Roman" w:cs="Times New Roman"/>
                <w:bCs/>
                <w:color w:val="000000" w:themeColor="text1"/>
                <w:lang w:val="ro-RO"/>
              </w:rPr>
            </w:pPr>
            <w:r w:rsidRPr="003117B3">
              <w:rPr>
                <w:rFonts w:ascii="Times New Roman" w:hAnsi="Times New Roman" w:cs="Times New Roman"/>
                <w:bCs/>
                <w:color w:val="000000" w:themeColor="text1"/>
                <w:lang w:val="ro-RO"/>
              </w:rPr>
              <w:t>e) un fond de investiții cu capital fix;</w:t>
            </w:r>
          </w:p>
          <w:p w14:paraId="0A205CBE" w14:textId="77777777" w:rsidR="005D614E" w:rsidRPr="003117B3" w:rsidRDefault="005D614E" w:rsidP="005D614E">
            <w:pPr>
              <w:spacing w:after="0" w:line="276" w:lineRule="auto"/>
              <w:jc w:val="both"/>
              <w:rPr>
                <w:rFonts w:ascii="Times New Roman" w:hAnsi="Times New Roman" w:cs="Times New Roman"/>
                <w:bCs/>
                <w:color w:val="000000" w:themeColor="text1"/>
                <w:lang w:val="ro-RO"/>
              </w:rPr>
            </w:pPr>
            <w:r w:rsidRPr="003117B3">
              <w:rPr>
                <w:rFonts w:ascii="Times New Roman" w:hAnsi="Times New Roman" w:cs="Times New Roman"/>
                <w:bCs/>
                <w:color w:val="000000" w:themeColor="text1"/>
                <w:lang w:val="ro-RO"/>
              </w:rPr>
              <w:t>f ) un asigurător;</w:t>
            </w:r>
          </w:p>
          <w:p w14:paraId="16929907" w14:textId="77777777" w:rsidR="005D614E" w:rsidRPr="003117B3" w:rsidRDefault="005D614E" w:rsidP="005D614E">
            <w:pPr>
              <w:spacing w:after="0" w:line="276" w:lineRule="auto"/>
              <w:jc w:val="both"/>
              <w:rPr>
                <w:rFonts w:ascii="Times New Roman" w:hAnsi="Times New Roman" w:cs="Times New Roman"/>
                <w:bCs/>
                <w:color w:val="000000" w:themeColor="text1"/>
                <w:lang w:val="ro-RO"/>
              </w:rPr>
            </w:pPr>
            <w:r w:rsidRPr="003117B3">
              <w:rPr>
                <w:rFonts w:ascii="Times New Roman" w:hAnsi="Times New Roman" w:cs="Times New Roman"/>
                <w:bCs/>
                <w:color w:val="000000" w:themeColor="text1"/>
                <w:lang w:val="ro-RO"/>
              </w:rPr>
              <w:t>g) un reasigurător;</w:t>
            </w:r>
          </w:p>
          <w:p w14:paraId="11055745" w14:textId="77777777" w:rsidR="005D614E" w:rsidRPr="003117B3" w:rsidRDefault="005D614E" w:rsidP="005D614E">
            <w:pPr>
              <w:spacing w:after="0" w:line="276" w:lineRule="auto"/>
              <w:jc w:val="both"/>
              <w:rPr>
                <w:rFonts w:ascii="Times New Roman" w:hAnsi="Times New Roman" w:cs="Times New Roman"/>
                <w:bCs/>
                <w:color w:val="000000" w:themeColor="text1"/>
                <w:lang w:val="ro-RO"/>
              </w:rPr>
            </w:pPr>
            <w:r w:rsidRPr="003117B3">
              <w:rPr>
                <w:rFonts w:ascii="Times New Roman" w:hAnsi="Times New Roman" w:cs="Times New Roman"/>
                <w:bCs/>
                <w:color w:val="000000" w:themeColor="text1"/>
                <w:lang w:val="ro-RO"/>
              </w:rPr>
              <w:t xml:space="preserve">h) o societate financiară holding sau o societate financiară holding mixtă; </w:t>
            </w:r>
          </w:p>
          <w:p w14:paraId="16C46786" w14:textId="7E068C54" w:rsidR="005D614E" w:rsidRPr="003117B3" w:rsidRDefault="00BA47DA" w:rsidP="005D614E">
            <w:pPr>
              <w:spacing w:after="0" w:line="276" w:lineRule="auto"/>
              <w:jc w:val="both"/>
              <w:rPr>
                <w:rFonts w:ascii="Times New Roman" w:hAnsi="Times New Roman" w:cs="Times New Roman"/>
                <w:color w:val="000000" w:themeColor="text1"/>
                <w:lang w:val="ro-RO"/>
              </w:rPr>
            </w:pPr>
            <w:r w:rsidRPr="003117B3">
              <w:rPr>
                <w:rFonts w:ascii="Times New Roman" w:hAnsi="Times New Roman" w:cs="Times New Roman"/>
                <w:color w:val="000000" w:themeColor="text1"/>
                <w:lang w:val="ro-RO"/>
              </w:rPr>
              <w:t>i</w:t>
            </w:r>
            <w:r w:rsidR="005D614E" w:rsidRPr="003117B3">
              <w:rPr>
                <w:rFonts w:ascii="Times New Roman" w:hAnsi="Times New Roman" w:cs="Times New Roman"/>
                <w:color w:val="000000" w:themeColor="text1"/>
                <w:lang w:val="ro-RO"/>
              </w:rPr>
              <w:t xml:space="preserve">) un fond de pensii facultative, astfel cum este definit la art.2 din Legea nr.198/2020 privind fondurile de pensii facultative.  </w:t>
            </w:r>
          </w:p>
          <w:p w14:paraId="3A6E2E63" w14:textId="77777777" w:rsidR="000876FD" w:rsidRPr="003117B3" w:rsidRDefault="000876FD" w:rsidP="000876FD">
            <w:pPr>
              <w:spacing w:after="0" w:line="276" w:lineRule="auto"/>
              <w:jc w:val="both"/>
              <w:rPr>
                <w:rFonts w:ascii="Times New Roman" w:hAnsi="Times New Roman" w:cs="Times New Roman"/>
                <w:color w:val="000000" w:themeColor="text1"/>
                <w:lang w:val="ro-RO"/>
              </w:rPr>
            </w:pPr>
          </w:p>
        </w:tc>
        <w:tc>
          <w:tcPr>
            <w:tcW w:w="336" w:type="pct"/>
          </w:tcPr>
          <w:p w14:paraId="2FF64CEE" w14:textId="70A2EF38" w:rsidR="000876FD" w:rsidRPr="003117B3" w:rsidRDefault="002D096D" w:rsidP="000876FD">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Parțial compatibil</w:t>
            </w:r>
          </w:p>
        </w:tc>
        <w:tc>
          <w:tcPr>
            <w:tcW w:w="1153" w:type="pct"/>
          </w:tcPr>
          <w:p w14:paraId="5BE447BB" w14:textId="5361FC38" w:rsidR="00E67379" w:rsidRPr="003117B3" w:rsidRDefault="00E67379" w:rsidP="00E67379">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Definiție ajustată conform modificărilor efectuate prin Regulamentul (UE) 2019/876 al Parlamentului European și al Consiliului din 20 mai 2019.</w:t>
            </w:r>
          </w:p>
          <w:p w14:paraId="5D1F4E6A" w14:textId="5DB6081F" w:rsidR="002D096D" w:rsidRPr="003117B3" w:rsidRDefault="002D096D" w:rsidP="002D096D">
            <w:pPr>
              <w:spacing w:line="276" w:lineRule="auto"/>
              <w:rPr>
                <w:rFonts w:ascii="Times New Roman" w:hAnsi="Times New Roman" w:cs="Times New Roman"/>
                <w:color w:val="000000" w:themeColor="text1"/>
                <w:lang w:val="ro-RO"/>
              </w:rPr>
            </w:pPr>
            <w:r w:rsidRPr="003117B3">
              <w:rPr>
                <w:rFonts w:ascii="Times New Roman" w:hAnsi="Times New Roman" w:cs="Times New Roman"/>
                <w:color w:val="000000" w:themeColor="text1"/>
                <w:lang w:val="ro-RO"/>
              </w:rPr>
              <w:t xml:space="preserve">Nu au fost transpuse prevederile </w:t>
            </w:r>
            <w:r w:rsidR="00A166E7" w:rsidRPr="003117B3">
              <w:rPr>
                <w:rFonts w:ascii="Times New Roman" w:hAnsi="Times New Roman" w:cs="Times New Roman"/>
                <w:color w:val="000000" w:themeColor="text1"/>
                <w:lang w:val="ro-RO"/>
              </w:rPr>
              <w:t xml:space="preserve">de la lit.c) </w:t>
            </w:r>
            <w:r w:rsidRPr="003117B3">
              <w:rPr>
                <w:rFonts w:ascii="Times New Roman" w:hAnsi="Times New Roman" w:cs="Times New Roman"/>
                <w:color w:val="000000" w:themeColor="text1"/>
                <w:lang w:val="ro-RO"/>
              </w:rPr>
              <w:t>aferente vehicului special constituit în scopul securitizării („SSPE”), dat fiind că acestea țin de securitizări. Prevederile aferente securitizărilor din RD 2015/61 nu au fost transpuse, deoarece aceste instrumente lipsesc pe piața Republicii Moldova</w:t>
            </w:r>
            <w:r w:rsidR="00561B42" w:rsidRPr="003117B3">
              <w:rPr>
                <w:color w:val="000000" w:themeColor="text1"/>
                <w:lang w:val="ro-RO"/>
              </w:rPr>
              <w:t xml:space="preserve"> </w:t>
            </w:r>
            <w:r w:rsidR="00561B42" w:rsidRPr="003117B3">
              <w:rPr>
                <w:rFonts w:ascii="Times New Roman" w:hAnsi="Times New Roman" w:cs="Times New Roman"/>
                <w:color w:val="000000" w:themeColor="text1"/>
                <w:lang w:val="ro-RO"/>
              </w:rPr>
              <w:t>și nu sunt reglementate de cadrul primar</w:t>
            </w:r>
            <w:r w:rsidRPr="003117B3">
              <w:rPr>
                <w:rFonts w:ascii="Times New Roman" w:hAnsi="Times New Roman" w:cs="Times New Roman"/>
                <w:color w:val="000000" w:themeColor="text1"/>
                <w:lang w:val="ro-RO"/>
              </w:rPr>
              <w:t>.</w:t>
            </w:r>
          </w:p>
          <w:p w14:paraId="5BF16431" w14:textId="2A98636D" w:rsidR="000876FD" w:rsidRPr="003117B3" w:rsidRDefault="00BA47DA" w:rsidP="00D278DB">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RO"/>
              </w:rPr>
              <w:t>De asemenea nu au fost transpuse prevederile lit.i) deoarece Legea nr.202/2017 a definit</w:t>
            </w:r>
            <w:r w:rsidR="008477DD" w:rsidRPr="003117B3">
              <w:rPr>
                <w:rFonts w:ascii="Times New Roman" w:hAnsi="Times New Roman" w:cs="Times New Roman"/>
                <w:color w:val="000000" w:themeColor="text1"/>
                <w:lang w:val="ro-RO"/>
              </w:rPr>
              <w:t xml:space="preserve"> la art.3 „entitate din sectorul financiar”</w:t>
            </w:r>
            <w:r w:rsidRPr="003117B3">
              <w:rPr>
                <w:rFonts w:ascii="Times New Roman" w:hAnsi="Times New Roman" w:cs="Times New Roman"/>
                <w:color w:val="000000" w:themeColor="text1"/>
                <w:lang w:val="ro-RO"/>
              </w:rPr>
              <w:t xml:space="preserve"> </w:t>
            </w:r>
            <w:r w:rsidR="008477DD" w:rsidRPr="003117B3">
              <w:rPr>
                <w:rFonts w:ascii="Times New Roman" w:hAnsi="Times New Roman" w:cs="Times New Roman"/>
                <w:color w:val="000000" w:themeColor="text1"/>
                <w:lang w:val="ro-RO"/>
              </w:rPr>
              <w:t xml:space="preserve"> la </w:t>
            </w:r>
            <w:r w:rsidR="008477DD" w:rsidRPr="003117B3">
              <w:rPr>
                <w:rFonts w:ascii="Times New Roman" w:hAnsi="Times New Roman" w:cs="Times New Roman"/>
                <w:color w:val="000000" w:themeColor="text1"/>
                <w:lang w:val="ro-RO"/>
              </w:rPr>
              <w:lastRenderedPageBreak/>
              <w:t xml:space="preserve">lit.c) </w:t>
            </w:r>
            <w:r w:rsidRPr="003117B3">
              <w:rPr>
                <w:rFonts w:ascii="Times New Roman" w:hAnsi="Times New Roman" w:cs="Times New Roman"/>
                <w:color w:val="000000" w:themeColor="text1"/>
                <w:lang w:val="ro-RO"/>
              </w:rPr>
              <w:t xml:space="preserve">„instituțiile financiare” ca „societate financiară nonbancară”, care deja se conține la lit.c) din definiția „client financiar” </w:t>
            </w:r>
            <w:r w:rsidR="008477DD" w:rsidRPr="003117B3">
              <w:rPr>
                <w:rFonts w:ascii="Times New Roman" w:hAnsi="Times New Roman" w:cs="Times New Roman"/>
                <w:color w:val="000000" w:themeColor="text1"/>
                <w:lang w:val="ro-RO"/>
              </w:rPr>
              <w:t>din Regulamentul nr.44/2020</w:t>
            </w:r>
          </w:p>
        </w:tc>
        <w:tc>
          <w:tcPr>
            <w:tcW w:w="674" w:type="pct"/>
          </w:tcPr>
          <w:p w14:paraId="569D9DFE" w14:textId="77777777" w:rsidR="000876FD" w:rsidRPr="003117B3" w:rsidRDefault="000876FD" w:rsidP="000876FD">
            <w:pPr>
              <w:spacing w:line="276" w:lineRule="auto"/>
              <w:jc w:val="both"/>
              <w:rPr>
                <w:rFonts w:ascii="Times New Roman" w:hAnsi="Times New Roman" w:cs="Times New Roman"/>
                <w:color w:val="000000" w:themeColor="text1"/>
                <w:lang w:val="ro-MD"/>
              </w:rPr>
            </w:pPr>
          </w:p>
        </w:tc>
      </w:tr>
      <w:tr w:rsidR="003117B3" w:rsidRPr="003117B3" w14:paraId="111EEB97"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885D66A" w14:textId="3E3540C8" w:rsidR="00CC1FAF" w:rsidRPr="003117B3" w:rsidRDefault="00CC1FAF"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▼M8</w:t>
            </w:r>
            <w:r w:rsidRPr="003117B3">
              <w:rPr>
                <w:rFonts w:ascii="Times New Roman" w:hAnsi="Times New Roman" w:cs="Times New Roman"/>
                <w:color w:val="000000" w:themeColor="text1"/>
                <w:lang w:val="ro-MD"/>
              </w:rPr>
              <w:t xml:space="preserve"> 2. «depozit de retail» înseamnă o datorie către o persoană fizică sau o IMM, atunci când aceasta din urmă s-ar încadra în clasa expunerilor de tip retail conform abordării standardizate sau abordării IRB privind riscul de credit, sau o datorie către o societate eligibilă pentru tratamentul prevăzut la articolul 153 alineatul (4), dacă depozitele agregate ale respectivei IMM sau ale respectivei societăți, pe baza unui grup, nu depășesc 1 milion EUR;</w:t>
            </w:r>
          </w:p>
          <w:p w14:paraId="1DB6C9DB" w14:textId="5608F387" w:rsidR="000876FD" w:rsidRPr="003117B3" w:rsidRDefault="000876FD" w:rsidP="000876FD">
            <w:pPr>
              <w:spacing w:line="276" w:lineRule="auto"/>
              <w:rPr>
                <w:rFonts w:ascii="Times New Roman" w:hAnsi="Times New Roman" w:cs="Times New Roman"/>
                <w:color w:val="000000" w:themeColor="text1"/>
                <w:lang w:val="ro-MD"/>
              </w:rPr>
            </w:pPr>
          </w:p>
        </w:tc>
        <w:tc>
          <w:tcPr>
            <w:tcW w:w="1249" w:type="pct"/>
          </w:tcPr>
          <w:p w14:paraId="22BF7542" w14:textId="1C0306BC" w:rsidR="001F163D" w:rsidRPr="003117B3" w:rsidRDefault="00CC4899" w:rsidP="003117B3">
            <w:pPr>
              <w:spacing w:after="0" w:line="276" w:lineRule="auto"/>
              <w:jc w:val="both"/>
              <w:rPr>
                <w:rFonts w:ascii="Times New Roman" w:hAnsi="Times New Roman" w:cs="Times New Roman"/>
                <w:color w:val="000000" w:themeColor="text1"/>
                <w:lang w:val="ro-RO"/>
              </w:rPr>
            </w:pPr>
            <w:r w:rsidRPr="003117B3">
              <w:rPr>
                <w:rFonts w:ascii="Times New Roman" w:hAnsi="Times New Roman" w:cs="Times New Roman"/>
                <w:bCs/>
                <w:color w:val="000000" w:themeColor="text1"/>
                <w:lang w:val="ro-RO"/>
              </w:rPr>
              <w:t>6) „depozite retail” înseamnă o datorie către o persoană fizică sau către o IMM (astfel cum este definită la subpct.9) din prezentul punct), dacă IMM-ul s-ar califica pentru clasa expunerilor de tip retail prevăzut la pct.61 din Regulamentul cu privire la tratamentul riscului de credit pentru bănci potrivit abordării standardizate aprobat prin HCE al BNM nr.111 din 24 mai 2018 (în continuare Regulamentul nr.111/2018)</w:t>
            </w:r>
            <w:r w:rsidRPr="003117B3">
              <w:rPr>
                <w:rFonts w:ascii="Times New Roman" w:hAnsi="Times New Roman" w:cs="Times New Roman"/>
                <w:color w:val="000000" w:themeColor="text1"/>
                <w:lang w:val="ro-RO"/>
              </w:rPr>
              <w:t xml:space="preserve"> </w:t>
            </w:r>
            <w:r w:rsidRPr="003117B3">
              <w:rPr>
                <w:rFonts w:ascii="Times New Roman" w:hAnsi="Times New Roman" w:cs="Times New Roman"/>
                <w:bCs/>
                <w:color w:val="000000" w:themeColor="text1"/>
                <w:lang w:val="ro-RO"/>
              </w:rPr>
              <w:t xml:space="preserve">și dacă depozitele agregate ale unui astfel de IMM, luate </w:t>
            </w:r>
            <w:r w:rsidRPr="003117B3">
              <w:rPr>
                <w:rFonts w:ascii="Times New Roman" w:hAnsi="Times New Roman" w:cs="Times New Roman"/>
                <w:bCs/>
                <w:color w:val="000000" w:themeColor="text1"/>
                <w:lang w:val="ro-RO"/>
              </w:rPr>
              <w:lastRenderedPageBreak/>
              <w:t>ca grup, nu depășesc 5 milioane lei moldovenești;</w:t>
            </w:r>
          </w:p>
        </w:tc>
        <w:tc>
          <w:tcPr>
            <w:tcW w:w="336" w:type="pct"/>
          </w:tcPr>
          <w:p w14:paraId="26022E09" w14:textId="0A252F48" w:rsidR="000876FD" w:rsidRPr="003117B3" w:rsidRDefault="00CC1FAF" w:rsidP="000876FD">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070FFEAE" w14:textId="3B26181D" w:rsidR="000876FD" w:rsidRPr="003117B3" w:rsidRDefault="00CC1FAF" w:rsidP="003117B3">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Definiția a fost transpusă din Regulamentul nr.575/2013 astfel, cum a fost modificat prin Regulamentul 2019/876 </w:t>
            </w:r>
            <w:r w:rsidR="00E67379" w:rsidRPr="003117B3">
              <w:rPr>
                <w:rFonts w:ascii="Times New Roman" w:hAnsi="Times New Roman" w:cs="Times New Roman"/>
                <w:color w:val="000000" w:themeColor="text1"/>
                <w:lang w:val="ro-MD"/>
              </w:rPr>
              <w:t>al Parlamentului European și al Consiliului din 20 mai 2019.</w:t>
            </w:r>
            <w:r w:rsidR="00CC4899" w:rsidRPr="003117B3">
              <w:rPr>
                <w:rFonts w:ascii="Times New Roman" w:hAnsi="Times New Roman" w:cs="Times New Roman"/>
                <w:color w:val="000000" w:themeColor="text1"/>
                <w:lang w:val="ro-MD"/>
              </w:rPr>
              <w:t xml:space="preserve"> Plafonul de 5 milioane lei moldovenești a fost ajustat plafonului stabilit pentru expunerile de tip retail din Regulamentul nr.111/2018 (pct.61 subpct.3)).</w:t>
            </w:r>
          </w:p>
        </w:tc>
        <w:tc>
          <w:tcPr>
            <w:tcW w:w="674" w:type="pct"/>
          </w:tcPr>
          <w:p w14:paraId="0BAA2052" w14:textId="77777777" w:rsidR="000876FD" w:rsidRPr="003117B3" w:rsidRDefault="000876FD" w:rsidP="000876FD">
            <w:pPr>
              <w:spacing w:line="276" w:lineRule="auto"/>
              <w:jc w:val="both"/>
              <w:rPr>
                <w:rFonts w:ascii="Times New Roman" w:hAnsi="Times New Roman" w:cs="Times New Roman"/>
                <w:color w:val="000000" w:themeColor="text1"/>
                <w:lang w:val="ro-MD"/>
              </w:rPr>
            </w:pPr>
          </w:p>
          <w:p w14:paraId="18A6ABBB" w14:textId="77777777" w:rsidR="000876FD" w:rsidRPr="003117B3" w:rsidRDefault="000876FD" w:rsidP="000876FD">
            <w:pPr>
              <w:spacing w:line="276" w:lineRule="auto"/>
              <w:jc w:val="both"/>
              <w:rPr>
                <w:rFonts w:ascii="Times New Roman" w:hAnsi="Times New Roman" w:cs="Times New Roman"/>
                <w:color w:val="000000" w:themeColor="text1"/>
                <w:lang w:val="ro-MD"/>
              </w:rPr>
            </w:pPr>
          </w:p>
          <w:p w14:paraId="4D16D26A" w14:textId="77777777" w:rsidR="000876FD" w:rsidRPr="003117B3" w:rsidRDefault="000876FD" w:rsidP="000876FD">
            <w:pPr>
              <w:spacing w:line="276" w:lineRule="auto"/>
              <w:jc w:val="both"/>
              <w:rPr>
                <w:rFonts w:ascii="Times New Roman" w:hAnsi="Times New Roman" w:cs="Times New Roman"/>
                <w:color w:val="000000" w:themeColor="text1"/>
                <w:lang w:val="ro-MD"/>
              </w:rPr>
            </w:pPr>
          </w:p>
          <w:p w14:paraId="7F931029" w14:textId="77777777" w:rsidR="000876FD" w:rsidRPr="003117B3" w:rsidRDefault="000876FD" w:rsidP="000876FD">
            <w:pPr>
              <w:spacing w:line="276" w:lineRule="auto"/>
              <w:jc w:val="both"/>
              <w:rPr>
                <w:rFonts w:ascii="Times New Roman" w:hAnsi="Times New Roman" w:cs="Times New Roman"/>
                <w:color w:val="000000" w:themeColor="text1"/>
                <w:lang w:val="ro-MD"/>
              </w:rPr>
            </w:pPr>
          </w:p>
          <w:p w14:paraId="47DFE510" w14:textId="77777777" w:rsidR="000876FD" w:rsidRPr="003117B3" w:rsidRDefault="000876FD" w:rsidP="000876FD">
            <w:pPr>
              <w:spacing w:line="276" w:lineRule="auto"/>
              <w:jc w:val="both"/>
              <w:rPr>
                <w:rFonts w:ascii="Times New Roman" w:hAnsi="Times New Roman" w:cs="Times New Roman"/>
                <w:color w:val="000000" w:themeColor="text1"/>
                <w:lang w:val="ro-MD"/>
              </w:rPr>
            </w:pPr>
          </w:p>
          <w:p w14:paraId="486CCDC5" w14:textId="77777777" w:rsidR="000876FD" w:rsidRPr="003117B3" w:rsidRDefault="000876FD" w:rsidP="00875FF3">
            <w:pPr>
              <w:spacing w:line="276" w:lineRule="auto"/>
              <w:jc w:val="both"/>
              <w:rPr>
                <w:rFonts w:ascii="Times New Roman" w:hAnsi="Times New Roman" w:cs="Times New Roman"/>
                <w:color w:val="000000" w:themeColor="text1"/>
                <w:lang w:val="ro-MD"/>
              </w:rPr>
            </w:pPr>
          </w:p>
        </w:tc>
      </w:tr>
      <w:tr w:rsidR="003117B3" w:rsidRPr="003117B3" w14:paraId="6A166A13"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A40BE58" w14:textId="77777777" w:rsidR="000876FD" w:rsidRPr="003117B3" w:rsidRDefault="000876FD"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3. «societate pentru investiții personale» sau «PIC» înseamnă o întreprindere sau o fiducie al cărei proprietar real sau beneficiar real este fie o persoană fizică, fie un grup de persoane fizice aflate în strânsă legătură, care nu desfășoară nicio altă activitate comercială, industrială sau profesională și care a fost constituită cu scopul unic de administrare a patrimoniului proprietarului sau proprietarilor, inclusiv activități conexe, cum ar fi separarea activelor proprietarilor de activele corporative, facilitarea transferului de active în cadrul unei familii sau prevenirea divizării activelor după decesul unui membru al familiei, cu condiția ca aceste activități conexe să aibă legătură cu obiectivul principal al gestionării patrimoniului proprietarilor;</w:t>
            </w:r>
          </w:p>
        </w:tc>
        <w:tc>
          <w:tcPr>
            <w:tcW w:w="1249" w:type="pct"/>
          </w:tcPr>
          <w:p w14:paraId="4EE0E98A" w14:textId="05BC64F4" w:rsidR="000876FD" w:rsidRPr="003117B3" w:rsidRDefault="00782374" w:rsidP="00D278DB">
            <w:pPr>
              <w:pStyle w:val="CM4"/>
              <w:tabs>
                <w:tab w:val="left" w:pos="1134"/>
              </w:tabs>
              <w:jc w:val="both"/>
              <w:rPr>
                <w:rFonts w:ascii="Times New Roman" w:hAnsi="Times New Roman"/>
                <w:color w:val="000000" w:themeColor="text1"/>
                <w:sz w:val="22"/>
                <w:szCs w:val="22"/>
                <w:lang w:val="ro-RO"/>
              </w:rPr>
            </w:pPr>
            <w:r w:rsidRPr="003117B3">
              <w:rPr>
                <w:rFonts w:ascii="Times New Roman" w:hAnsi="Times New Roman"/>
                <w:color w:val="000000" w:themeColor="text1"/>
                <w:sz w:val="22"/>
                <w:szCs w:val="22"/>
                <w:lang w:val="ro-RO"/>
              </w:rPr>
              <w:t>12) „societate pentru investiții personale” („PIC”) înseamnă o întreprindere sau o fiducie al cărei proprietar real sau, respectiv, beneficiar efectiv este o persoană fizică sau un grup de persoane fizice aflate în strânsă legătură, care nu desfășoară nicio altă activitate comercială, industrială sau profesională și care a fost constituită cu scopul unic de administrare a patrimoniului proprietarului sau proprietarilor. PIC poate avea ca obiect și alte activități conexe, cum ar fi separarea activelor proprietarilor de activele corporative, facilitarea transferului de active în cadrul unei familii sau prevenirea divizării activelor după decesul unui membru al familiei, cu condiția ca aceste activități conexe să aibă legătură cu obiectivul principal al gestionării patrimoniului proprietarilor;</w:t>
            </w:r>
          </w:p>
        </w:tc>
        <w:tc>
          <w:tcPr>
            <w:tcW w:w="336" w:type="pct"/>
          </w:tcPr>
          <w:p w14:paraId="256C3212" w14:textId="77572D04" w:rsidR="000876FD" w:rsidRPr="003117B3" w:rsidRDefault="00C33298" w:rsidP="000876FD">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4A72D1F1" w14:textId="1FDA2188" w:rsidR="000876FD" w:rsidRPr="003117B3" w:rsidRDefault="00E67379"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Definiția ajustată conform modificărilor efectuate prin Regulamentul (UE) 2019/876 al Parlamentului European și al Consiliului din 20 mai 2019.</w:t>
            </w:r>
          </w:p>
        </w:tc>
        <w:tc>
          <w:tcPr>
            <w:tcW w:w="674" w:type="pct"/>
          </w:tcPr>
          <w:p w14:paraId="31ECF241" w14:textId="77777777" w:rsidR="000876FD" w:rsidRPr="003117B3" w:rsidRDefault="000876FD" w:rsidP="000876FD">
            <w:pPr>
              <w:spacing w:line="276" w:lineRule="auto"/>
              <w:jc w:val="both"/>
              <w:rPr>
                <w:rFonts w:ascii="Times New Roman" w:hAnsi="Times New Roman" w:cs="Times New Roman"/>
                <w:color w:val="000000" w:themeColor="text1"/>
                <w:lang w:val="ro-MD"/>
              </w:rPr>
            </w:pPr>
          </w:p>
        </w:tc>
      </w:tr>
      <w:tr w:rsidR="003117B3" w:rsidRPr="003117B3" w14:paraId="59448F27"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8F03929" w14:textId="77777777" w:rsidR="000876FD" w:rsidRPr="003117B3" w:rsidRDefault="00D431EF" w:rsidP="000876FD">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4. «broker de depozit» înseamnă o persoană fizică sau o întreprindere care plasează depozite de la terți, inclusiv depozite de retail și depozite corporative, cu excepția depozitelor de la instituții </w:t>
            </w:r>
            <w:r w:rsidRPr="003117B3">
              <w:rPr>
                <w:rFonts w:ascii="Times New Roman" w:hAnsi="Times New Roman" w:cs="Times New Roman"/>
                <w:color w:val="000000" w:themeColor="text1"/>
                <w:lang w:val="ro-MD"/>
              </w:rPr>
              <w:lastRenderedPageBreak/>
              <w:t>financiare, la instituții de credit, în schimbul unui comision;</w:t>
            </w:r>
          </w:p>
        </w:tc>
        <w:tc>
          <w:tcPr>
            <w:tcW w:w="1249" w:type="pct"/>
          </w:tcPr>
          <w:p w14:paraId="1B5AA3AE" w14:textId="59329678" w:rsidR="000876FD" w:rsidRPr="003117B3" w:rsidRDefault="002D41D0" w:rsidP="00D278DB">
            <w:pPr>
              <w:tabs>
                <w:tab w:val="left" w:pos="1134"/>
              </w:tabs>
              <w:spacing w:after="0" w:line="240" w:lineRule="auto"/>
              <w:jc w:val="both"/>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lastRenderedPageBreak/>
              <w:t>2</w:t>
            </w:r>
            <w:r w:rsidRPr="003117B3">
              <w:rPr>
                <w:rFonts w:ascii="Times New Roman" w:eastAsia="Arial Unicode MS" w:hAnsi="Times New Roman" w:cs="Times New Roman"/>
                <w:bCs/>
                <w:color w:val="000000" w:themeColor="text1"/>
                <w:vertAlign w:val="superscript"/>
                <w:lang w:val="ro-RO"/>
              </w:rPr>
              <w:t>2</w:t>
            </w:r>
            <w:r w:rsidRPr="003117B3">
              <w:rPr>
                <w:rFonts w:ascii="Times New Roman" w:eastAsia="Arial Unicode MS" w:hAnsi="Times New Roman" w:cs="Times New Roman"/>
                <w:bCs/>
                <w:color w:val="000000" w:themeColor="text1"/>
                <w:lang w:val="ro-RO"/>
              </w:rPr>
              <w:t xml:space="preserve">) „broker de depozit” înseamnă o persoană fizică sau o întreprindere care plasează depozite de la terți, inclusiv depozite retail și depozite corporative, cu excepția depozitelor de la </w:t>
            </w:r>
            <w:r w:rsidR="008A3E24" w:rsidRPr="003117B3">
              <w:rPr>
                <w:rFonts w:ascii="Times New Roman" w:eastAsia="Arial Unicode MS" w:hAnsi="Times New Roman" w:cs="Times New Roman"/>
                <w:bCs/>
                <w:color w:val="000000" w:themeColor="text1"/>
                <w:lang w:val="ro-RO"/>
              </w:rPr>
              <w:t>societăți</w:t>
            </w:r>
            <w:r w:rsidRPr="003117B3">
              <w:rPr>
                <w:rFonts w:ascii="Times New Roman" w:eastAsia="Arial Unicode MS" w:hAnsi="Times New Roman" w:cs="Times New Roman"/>
                <w:bCs/>
                <w:color w:val="000000" w:themeColor="text1"/>
                <w:lang w:val="ro-RO"/>
              </w:rPr>
              <w:t xml:space="preserve"> </w:t>
            </w:r>
            <w:r w:rsidRPr="003117B3">
              <w:rPr>
                <w:rFonts w:ascii="Times New Roman" w:eastAsia="Arial Unicode MS" w:hAnsi="Times New Roman" w:cs="Times New Roman"/>
                <w:bCs/>
                <w:color w:val="000000" w:themeColor="text1"/>
                <w:lang w:val="ro-RO"/>
              </w:rPr>
              <w:lastRenderedPageBreak/>
              <w:t>financiare</w:t>
            </w:r>
            <w:r w:rsidR="008A3E24" w:rsidRPr="003117B3">
              <w:rPr>
                <w:rFonts w:ascii="Times New Roman" w:eastAsia="Arial Unicode MS" w:hAnsi="Times New Roman" w:cs="Times New Roman"/>
                <w:bCs/>
                <w:color w:val="000000" w:themeColor="text1"/>
                <w:lang w:val="ro-RO"/>
              </w:rPr>
              <w:t xml:space="preserve"> nonbancare</w:t>
            </w:r>
            <w:r w:rsidRPr="003117B3">
              <w:rPr>
                <w:rFonts w:ascii="Times New Roman" w:eastAsia="Arial Unicode MS" w:hAnsi="Times New Roman" w:cs="Times New Roman"/>
                <w:bCs/>
                <w:color w:val="000000" w:themeColor="text1"/>
                <w:lang w:val="ro-RO"/>
              </w:rPr>
              <w:t>, la bănci, în schimbul unui comision;</w:t>
            </w:r>
          </w:p>
        </w:tc>
        <w:tc>
          <w:tcPr>
            <w:tcW w:w="336" w:type="pct"/>
          </w:tcPr>
          <w:p w14:paraId="7F460F24" w14:textId="44519E12" w:rsidR="000876FD" w:rsidRPr="003117B3" w:rsidRDefault="002D41D0" w:rsidP="000876FD">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3DBFDC7A" w14:textId="637AEA92" w:rsidR="009F42F2" w:rsidRPr="003117B3" w:rsidRDefault="00E67379" w:rsidP="00A728C8">
            <w:pPr>
              <w:pStyle w:val="CommentText"/>
              <w:rPr>
                <w:color w:val="000000" w:themeColor="text1"/>
                <w:sz w:val="22"/>
                <w:szCs w:val="22"/>
                <w:lang w:val="it-IT"/>
              </w:rPr>
            </w:pPr>
            <w:r w:rsidRPr="003117B3">
              <w:rPr>
                <w:color w:val="000000" w:themeColor="text1"/>
                <w:sz w:val="22"/>
                <w:szCs w:val="22"/>
                <w:lang w:val="it-IT"/>
              </w:rPr>
              <w:t xml:space="preserve">Definiția </w:t>
            </w:r>
            <w:r w:rsidR="00A728C8" w:rsidRPr="003117B3">
              <w:rPr>
                <w:color w:val="000000" w:themeColor="text1"/>
                <w:sz w:val="22"/>
                <w:szCs w:val="22"/>
                <w:lang w:val="it-IT"/>
              </w:rPr>
              <w:t>transpusă</w:t>
            </w:r>
            <w:r w:rsidRPr="003117B3">
              <w:rPr>
                <w:color w:val="000000" w:themeColor="text1"/>
                <w:sz w:val="22"/>
                <w:szCs w:val="22"/>
                <w:lang w:val="it-IT"/>
              </w:rPr>
              <w:t xml:space="preserve"> conform modificărilor efectuate prin Regulamentul (UE) 2019/876 al Parlamentului European și al Consiliului din 20 mai 2019.</w:t>
            </w:r>
          </w:p>
        </w:tc>
        <w:tc>
          <w:tcPr>
            <w:tcW w:w="674" w:type="pct"/>
          </w:tcPr>
          <w:p w14:paraId="047A0CAA" w14:textId="77777777" w:rsidR="000876FD" w:rsidRPr="003117B3" w:rsidRDefault="000876FD" w:rsidP="000876FD">
            <w:pPr>
              <w:spacing w:line="276" w:lineRule="auto"/>
              <w:jc w:val="both"/>
              <w:rPr>
                <w:rFonts w:ascii="Times New Roman" w:hAnsi="Times New Roman" w:cs="Times New Roman"/>
                <w:b/>
                <w:color w:val="000000" w:themeColor="text1"/>
                <w:lang w:val="ro-MD"/>
              </w:rPr>
            </w:pPr>
          </w:p>
        </w:tc>
      </w:tr>
      <w:tr w:rsidR="003117B3" w:rsidRPr="003117B3" w14:paraId="36BF5041"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634AA41"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5. «active negrevate de sarcini» înseamnă active care nu fac obiectul niciunei restricții juridice, contractuale, de reglementare sau de alt tip care să împiedice instituția să lichideze, să vândă, să transfere, să atribuie sau, în general, să cedeze astfel de active printr-o tranzacție de vânzări directe sau printr-un acord de răscumpărare; </w:t>
            </w:r>
          </w:p>
        </w:tc>
        <w:tc>
          <w:tcPr>
            <w:tcW w:w="1249" w:type="pct"/>
          </w:tcPr>
          <w:p w14:paraId="10BB89CB" w14:textId="04C35E00" w:rsidR="00D431EF" w:rsidRPr="003117B3" w:rsidRDefault="00B04208" w:rsidP="00D278DB">
            <w:pPr>
              <w:tabs>
                <w:tab w:val="left" w:pos="1134"/>
              </w:tabs>
              <w:spacing w:after="0" w:line="240" w:lineRule="auto"/>
              <w:jc w:val="both"/>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2</w:t>
            </w:r>
            <w:r w:rsidRPr="003117B3">
              <w:rPr>
                <w:rFonts w:ascii="Times New Roman" w:eastAsia="Arial Unicode MS" w:hAnsi="Times New Roman" w:cs="Times New Roman"/>
                <w:bCs/>
                <w:color w:val="000000" w:themeColor="text1"/>
                <w:vertAlign w:val="superscript"/>
                <w:lang w:val="ro-RO"/>
              </w:rPr>
              <w:t>1</w:t>
            </w:r>
            <w:r w:rsidRPr="003117B3">
              <w:rPr>
                <w:rFonts w:ascii="Times New Roman" w:eastAsia="Arial Unicode MS" w:hAnsi="Times New Roman" w:cs="Times New Roman"/>
                <w:bCs/>
                <w:color w:val="000000" w:themeColor="text1"/>
                <w:lang w:val="ro-RO"/>
              </w:rPr>
              <w:t xml:space="preserve">) „active negrevate de sarcini” înseamnă active care nu fac obiectul niciunei restricții juridice, contractuale, de reglementare sau de alt tip care să împiedice banca să lichideze, să vândă, să transfere, să atribuie sau, în general, să cedeze astfel de active printr-o tranzacție de vânzări </w:t>
            </w:r>
            <w:r w:rsidR="00B015DF" w:rsidRPr="003117B3">
              <w:rPr>
                <w:rFonts w:ascii="Times New Roman" w:eastAsia="Arial Unicode MS" w:hAnsi="Times New Roman" w:cs="Times New Roman"/>
                <w:bCs/>
                <w:color w:val="000000" w:themeColor="text1"/>
                <w:lang w:val="ro-RO"/>
              </w:rPr>
              <w:t>ferme</w:t>
            </w:r>
            <w:r w:rsidRPr="003117B3">
              <w:rPr>
                <w:rFonts w:ascii="Times New Roman" w:eastAsia="Arial Unicode MS" w:hAnsi="Times New Roman" w:cs="Times New Roman"/>
                <w:bCs/>
                <w:color w:val="000000" w:themeColor="text1"/>
                <w:lang w:val="ro-RO"/>
              </w:rPr>
              <w:t xml:space="preserve"> sau printr-un acord de răscumpărare;</w:t>
            </w:r>
          </w:p>
        </w:tc>
        <w:tc>
          <w:tcPr>
            <w:tcW w:w="336" w:type="pct"/>
          </w:tcPr>
          <w:p w14:paraId="05A1F2D6" w14:textId="5E4218E9" w:rsidR="00D431EF" w:rsidRPr="003117B3" w:rsidRDefault="00C14FD7"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30EDB729" w14:textId="20D7E10D" w:rsidR="00D431EF" w:rsidRPr="003117B3" w:rsidRDefault="00A728C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Definiție transpusă conform modificărilor efectuate prin Regulamentul (UE) 2019/876 al Parlamentului European și al Consiliului din 20 mai 2019.</w:t>
            </w:r>
          </w:p>
        </w:tc>
        <w:tc>
          <w:tcPr>
            <w:tcW w:w="674" w:type="pct"/>
          </w:tcPr>
          <w:p w14:paraId="2A987B4F"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084C68B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4769D2F"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6. «supragarantare neobligatorie» înseamnă orice cuantum al activelor pe care instituția nu este obligată să îl asocieze unei emisiuni de obligațiuni garantate în temeiul unor dispoziții legale sau de reglementare, al unor angajamente contractuale sau din motive de disciplină a pieței, inclusiv, în special, în cazul în care activele sunt furnizate în plus față de cerința de supragarantare minimă juridică, statutară sau de reglementare aplicabilă obligațiunilor garantate în conformitate cu legislația națională a unui stat membru sau a unei țări terțe; </w:t>
            </w:r>
          </w:p>
        </w:tc>
        <w:tc>
          <w:tcPr>
            <w:tcW w:w="1249" w:type="pct"/>
          </w:tcPr>
          <w:p w14:paraId="35791088" w14:textId="77777777" w:rsidR="00D431EF" w:rsidRPr="003117B3" w:rsidRDefault="00D431EF" w:rsidP="00D431EF">
            <w:pPr>
              <w:spacing w:after="0" w:line="276" w:lineRule="auto"/>
              <w:jc w:val="both"/>
              <w:rPr>
                <w:rFonts w:ascii="Times New Roman" w:hAnsi="Times New Roman" w:cs="Times New Roman"/>
                <w:color w:val="000000" w:themeColor="text1"/>
                <w:lang w:val="ro-MD"/>
              </w:rPr>
            </w:pPr>
          </w:p>
        </w:tc>
        <w:tc>
          <w:tcPr>
            <w:tcW w:w="336" w:type="pct"/>
          </w:tcPr>
          <w:p w14:paraId="007BFFEF"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c>
          <w:tcPr>
            <w:tcW w:w="1153" w:type="pct"/>
          </w:tcPr>
          <w:p w14:paraId="30163517" w14:textId="77777777" w:rsidR="00D431EF" w:rsidRPr="003117B3" w:rsidRDefault="00D431EF" w:rsidP="00D431EF">
            <w:pPr>
              <w:spacing w:line="276" w:lineRule="auto"/>
              <w:rPr>
                <w:rFonts w:ascii="Times New Roman" w:hAnsi="Times New Roman" w:cs="Times New Roman"/>
                <w:b/>
                <w:color w:val="000000" w:themeColor="text1"/>
                <w:lang w:val="ro-MD"/>
              </w:rPr>
            </w:pPr>
            <w:r w:rsidRPr="003117B3">
              <w:rPr>
                <w:rFonts w:ascii="Times New Roman" w:hAnsi="Times New Roman" w:cs="Times New Roman"/>
                <w:color w:val="000000" w:themeColor="text1"/>
                <w:lang w:val="ro-MD"/>
              </w:rPr>
              <w:t>Nu se transpune deoarece prevederile din CRR aferente obligațiunilor garantate nu au fost transpuse în reglementările bancare noi.</w:t>
            </w:r>
          </w:p>
        </w:tc>
        <w:tc>
          <w:tcPr>
            <w:tcW w:w="674" w:type="pct"/>
          </w:tcPr>
          <w:p w14:paraId="5EFF6ED9"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3F63B1E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65A0999"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lastRenderedPageBreak/>
              <w:t xml:space="preserve">M8 </w:t>
            </w:r>
            <w:r w:rsidRPr="003117B3">
              <w:rPr>
                <w:rFonts w:ascii="Times New Roman" w:hAnsi="Times New Roman" w:cs="Times New Roman"/>
                <w:color w:val="000000" w:themeColor="text1"/>
                <w:lang w:val="ro-MD"/>
              </w:rPr>
              <w:t xml:space="preserve">7. «cerința de acoperire prin active» înseamnă raportul dintre active și pasive, determinat în conformitate cu legislația națională a unui stat membru sau a unei țări terțe în scopul îmbunătățirii calității creditului în ceea ce privește obligațiunile garantate; </w:t>
            </w:r>
          </w:p>
        </w:tc>
        <w:tc>
          <w:tcPr>
            <w:tcW w:w="1249" w:type="pct"/>
          </w:tcPr>
          <w:p w14:paraId="772F199B" w14:textId="77777777" w:rsidR="00D431EF" w:rsidRPr="003117B3" w:rsidRDefault="00D431EF" w:rsidP="00D431EF">
            <w:pPr>
              <w:spacing w:after="0" w:line="276" w:lineRule="auto"/>
              <w:jc w:val="both"/>
              <w:rPr>
                <w:rFonts w:ascii="Times New Roman" w:hAnsi="Times New Roman" w:cs="Times New Roman"/>
                <w:color w:val="000000" w:themeColor="text1"/>
                <w:lang w:val="ro-MD"/>
              </w:rPr>
            </w:pPr>
          </w:p>
        </w:tc>
        <w:tc>
          <w:tcPr>
            <w:tcW w:w="336" w:type="pct"/>
          </w:tcPr>
          <w:p w14:paraId="64F64638"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c>
          <w:tcPr>
            <w:tcW w:w="1153" w:type="pct"/>
          </w:tcPr>
          <w:p w14:paraId="56F0B65F"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Nu se transpune deoarece prevederile din CRR aferente obligațiunilor garantate nu au fost transpuse în reglementările bancare noi.</w:t>
            </w:r>
          </w:p>
        </w:tc>
        <w:tc>
          <w:tcPr>
            <w:tcW w:w="674" w:type="pct"/>
          </w:tcPr>
          <w:p w14:paraId="6B914728"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75F6A471"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EACEC2B"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8. «credite în marjă» înseamnă împrumuturi garantate acordate clienților în scopul asumării unor poziții de tranzacționare cu efect de levier; </w:t>
            </w:r>
          </w:p>
        </w:tc>
        <w:tc>
          <w:tcPr>
            <w:tcW w:w="1249" w:type="pct"/>
          </w:tcPr>
          <w:p w14:paraId="7429D5AE" w14:textId="6801DC99" w:rsidR="00D431EF" w:rsidRPr="003117B3" w:rsidRDefault="00D179B5" w:rsidP="00D278DB">
            <w:pPr>
              <w:tabs>
                <w:tab w:val="left" w:pos="1134"/>
              </w:tabs>
              <w:autoSpaceDE w:val="0"/>
              <w:autoSpaceDN w:val="0"/>
              <w:adjustRightInd w:val="0"/>
              <w:spacing w:after="0" w:line="240" w:lineRule="auto"/>
              <w:jc w:val="both"/>
              <w:rPr>
                <w:rFonts w:ascii="Times New Roman" w:hAnsi="Times New Roman" w:cs="Times New Roman"/>
                <w:color w:val="000000" w:themeColor="text1"/>
                <w:lang w:val="ro-RO"/>
              </w:rPr>
            </w:pPr>
            <w:r w:rsidRPr="003117B3">
              <w:rPr>
                <w:rFonts w:ascii="Times New Roman" w:hAnsi="Times New Roman" w:cs="Times New Roman"/>
                <w:color w:val="000000" w:themeColor="text1"/>
                <w:lang w:val="ro-RO"/>
              </w:rPr>
              <w:t>4) „credit în marjă” înseamnă împrumuturi garantate acordate clienților în scopul asumării unor poziții de tranzacționare cu efect de levier;</w:t>
            </w:r>
          </w:p>
        </w:tc>
        <w:tc>
          <w:tcPr>
            <w:tcW w:w="336" w:type="pct"/>
          </w:tcPr>
          <w:p w14:paraId="03F76E20" w14:textId="77777777" w:rsidR="00D431EF" w:rsidRPr="003117B3" w:rsidRDefault="00DC354B"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620F5727" w14:textId="7B51EBD8" w:rsidR="00D431EF" w:rsidRPr="003117B3" w:rsidRDefault="00A728C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Definiția ajustată conform modificărilor efectuate prin Regulamentul (UE) 2019/876 al Parlamentului European și al Consiliului din 20 mai 2019.</w:t>
            </w:r>
          </w:p>
        </w:tc>
        <w:tc>
          <w:tcPr>
            <w:tcW w:w="674" w:type="pct"/>
          </w:tcPr>
          <w:p w14:paraId="018F6A88"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2ABA1187"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20F765F"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9. «contracte derivate» înseamnă contractele derivate enumerate în anexa II și instrumentele financiare derivate de credit; </w:t>
            </w:r>
          </w:p>
        </w:tc>
        <w:tc>
          <w:tcPr>
            <w:tcW w:w="1249" w:type="pct"/>
          </w:tcPr>
          <w:p w14:paraId="14D6FEAC" w14:textId="55F9E8C3" w:rsidR="00D431EF" w:rsidRPr="003117B3" w:rsidRDefault="00DD2EE9" w:rsidP="00D278DB">
            <w:pPr>
              <w:spacing w:after="0" w:line="240" w:lineRule="auto"/>
              <w:rPr>
                <w:rFonts w:ascii="Times New Roman" w:hAnsi="Times New Roman" w:cs="Times New Roman"/>
                <w:color w:val="000000" w:themeColor="text1"/>
                <w:lang w:val="ro-MD"/>
              </w:rPr>
            </w:pPr>
            <w:r w:rsidRPr="003117B3">
              <w:rPr>
                <w:rFonts w:ascii="Times New Roman" w:eastAsia="Arial Unicode MS" w:hAnsi="Times New Roman" w:cs="Times New Roman"/>
                <w:color w:val="000000" w:themeColor="text1"/>
                <w:lang w:val="ro-MD"/>
              </w:rPr>
              <w:t>3</w:t>
            </w:r>
            <w:r w:rsidRPr="003117B3">
              <w:rPr>
                <w:rFonts w:ascii="Times New Roman" w:eastAsia="Arial Unicode MS" w:hAnsi="Times New Roman" w:cs="Times New Roman"/>
                <w:color w:val="000000" w:themeColor="text1"/>
                <w:vertAlign w:val="superscript"/>
                <w:lang w:val="ro-MD"/>
              </w:rPr>
              <w:t>1</w:t>
            </w:r>
            <w:r w:rsidRPr="003117B3">
              <w:rPr>
                <w:rFonts w:ascii="Times New Roman" w:eastAsia="Arial Unicode MS" w:hAnsi="Times New Roman" w:cs="Times New Roman"/>
                <w:color w:val="000000" w:themeColor="text1"/>
                <w:lang w:val="ro-MD"/>
              </w:rPr>
              <w:t>) „contracte derivate” înseamnă contractele derivate enumerate în Anexa nr.1 la Regulamentul nr.114/2018 cu privire la tratamentul riscului de piaţă potrivit abordării standardizate</w:t>
            </w:r>
            <w:r w:rsidR="00CE43B1" w:rsidRPr="003117B3">
              <w:rPr>
                <w:rFonts w:ascii="Times New Roman" w:eastAsia="Arial Unicode MS" w:hAnsi="Times New Roman" w:cs="Times New Roman"/>
                <w:color w:val="000000" w:themeColor="text1"/>
                <w:lang w:val="ro-MD"/>
              </w:rPr>
              <w:t xml:space="preserve"> </w:t>
            </w:r>
            <w:r w:rsidR="00CE43B1" w:rsidRPr="003117B3">
              <w:rPr>
                <w:rFonts w:ascii="Times New Roman" w:eastAsia="Arial Unicode MS" w:hAnsi="Times New Roman" w:cs="Times New Roman"/>
                <w:bCs/>
                <w:color w:val="000000" w:themeColor="text1"/>
                <w:lang w:val="ro-RO"/>
              </w:rPr>
              <w:t xml:space="preserve">(în continuare Regulamentul nr.114/2018) </w:t>
            </w:r>
            <w:r w:rsidRPr="003117B3">
              <w:rPr>
                <w:rFonts w:ascii="Times New Roman" w:eastAsia="Arial Unicode MS" w:hAnsi="Times New Roman" w:cs="Times New Roman"/>
                <w:color w:val="000000" w:themeColor="text1"/>
                <w:lang w:val="ro-MD"/>
              </w:rPr>
              <w:t xml:space="preserve"> și instrumentele financiare derivate de credit;</w:t>
            </w:r>
          </w:p>
        </w:tc>
        <w:tc>
          <w:tcPr>
            <w:tcW w:w="336" w:type="pct"/>
          </w:tcPr>
          <w:p w14:paraId="16F4CE0D"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489179BA" w14:textId="6827B7EF" w:rsidR="00D431EF" w:rsidRPr="003117B3" w:rsidRDefault="00A728C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Definiția transpusă conform modificărilor efectuate prin Regulamentul (UE) 2019/876 al Parlamentului European și al Consiliului din 20 mai 2019.</w:t>
            </w:r>
          </w:p>
        </w:tc>
        <w:tc>
          <w:tcPr>
            <w:tcW w:w="674" w:type="pct"/>
          </w:tcPr>
          <w:p w14:paraId="0FF7A678"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28949FF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F3F29E8"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10. «criză» înseamnă o deteriorare bruscă sau gravă a solvabilității sau a poziției de lichiditate a unei instituții ca urmare a unor modificări ale condițiilor de piață sau ale factorilor idiosincratici care antrenează un risc semnificativ ca instituția să </w:t>
            </w:r>
            <w:r w:rsidRPr="003117B3">
              <w:rPr>
                <w:rFonts w:ascii="Times New Roman" w:hAnsi="Times New Roman" w:cs="Times New Roman"/>
                <w:color w:val="000000" w:themeColor="text1"/>
                <w:lang w:val="ro-MD"/>
              </w:rPr>
              <w:lastRenderedPageBreak/>
              <w:t xml:space="preserve">nu își mai poată îndeplini angajamentele care devin scadente în următoarele 30 de zile; </w:t>
            </w:r>
          </w:p>
        </w:tc>
        <w:tc>
          <w:tcPr>
            <w:tcW w:w="1249" w:type="pct"/>
          </w:tcPr>
          <w:p w14:paraId="75377628" w14:textId="46BFD557" w:rsidR="00D431EF" w:rsidRPr="003117B3" w:rsidRDefault="00DD2EE9" w:rsidP="00DD2EE9">
            <w:pPr>
              <w:spacing w:after="0" w:line="276" w:lineRule="auto"/>
              <w:jc w:val="both"/>
              <w:rPr>
                <w:rFonts w:ascii="Times New Roman" w:hAnsi="Times New Roman" w:cs="Times New Roman"/>
                <w:color w:val="000000" w:themeColor="text1"/>
                <w:lang w:val="ro-MD"/>
              </w:rPr>
            </w:pPr>
            <w:r w:rsidRPr="003117B3">
              <w:rPr>
                <w:rFonts w:ascii="Times New Roman" w:eastAsia="Arial Unicode MS" w:hAnsi="Times New Roman" w:cs="Times New Roman"/>
                <w:bCs/>
                <w:color w:val="000000" w:themeColor="text1"/>
                <w:lang w:val="ro-RO"/>
              </w:rPr>
              <w:lastRenderedPageBreak/>
              <w:t xml:space="preserve">5) </w:t>
            </w:r>
            <w:r w:rsidR="000B4B6C" w:rsidRPr="003117B3">
              <w:rPr>
                <w:rFonts w:ascii="Times New Roman" w:eastAsia="Arial Unicode MS" w:hAnsi="Times New Roman" w:cs="Times New Roman"/>
                <w:bCs/>
                <w:color w:val="000000" w:themeColor="text1"/>
                <w:lang w:val="ro-RO"/>
              </w:rPr>
              <w:t xml:space="preserve">„criză” înseamnă o deteriorare bruscă sau gravă a solvabilității sau a poziției de lichiditate a unei bănci ca urmare a unor modificări ale condițiilor de piață sau ale unor factori </w:t>
            </w:r>
            <w:r w:rsidR="000B4B6C" w:rsidRPr="003117B3">
              <w:rPr>
                <w:rFonts w:ascii="Times New Roman" w:eastAsia="Arial Unicode MS" w:hAnsi="Times New Roman" w:cs="Times New Roman"/>
                <w:bCs/>
                <w:color w:val="000000" w:themeColor="text1"/>
                <w:lang w:val="ro-RO"/>
              </w:rPr>
              <w:lastRenderedPageBreak/>
              <w:t xml:space="preserve">idiosincratici care </w:t>
            </w:r>
            <w:r w:rsidRPr="003117B3">
              <w:rPr>
                <w:rFonts w:ascii="Times New Roman" w:eastAsia="Arial Unicode MS" w:hAnsi="Times New Roman" w:cs="Times New Roman"/>
                <w:bCs/>
                <w:color w:val="000000" w:themeColor="text1"/>
                <w:lang w:val="ro-RO"/>
              </w:rPr>
              <w:t>antrenează</w:t>
            </w:r>
            <w:r w:rsidRPr="003117B3" w:rsidDel="00A81CFA">
              <w:rPr>
                <w:rFonts w:ascii="Times New Roman" w:eastAsia="Arial Unicode MS" w:hAnsi="Times New Roman" w:cs="Times New Roman"/>
                <w:bCs/>
                <w:color w:val="000000" w:themeColor="text1"/>
                <w:lang w:val="ro-RO"/>
              </w:rPr>
              <w:t xml:space="preserve"> </w:t>
            </w:r>
            <w:r w:rsidRPr="003117B3">
              <w:rPr>
                <w:rFonts w:ascii="Times New Roman" w:eastAsia="Arial Unicode MS" w:hAnsi="Times New Roman" w:cs="Times New Roman"/>
                <w:bCs/>
                <w:color w:val="000000" w:themeColor="text1"/>
                <w:lang w:val="ro-RO"/>
              </w:rPr>
              <w:t xml:space="preserve">un  </w:t>
            </w:r>
            <w:r w:rsidR="000B4B6C" w:rsidRPr="003117B3">
              <w:rPr>
                <w:rFonts w:ascii="Times New Roman" w:eastAsia="Arial Unicode MS" w:hAnsi="Times New Roman" w:cs="Times New Roman"/>
                <w:bCs/>
                <w:color w:val="000000" w:themeColor="text1"/>
                <w:lang w:val="ro-RO"/>
              </w:rPr>
              <w:t>risc semnificativ ca banca să nu își mai poată îndeplini angajamentele care devin scadente în următoarele 30 de zile;</w:t>
            </w:r>
          </w:p>
        </w:tc>
        <w:tc>
          <w:tcPr>
            <w:tcW w:w="336" w:type="pct"/>
          </w:tcPr>
          <w:p w14:paraId="6BBCC44E"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71565100" w14:textId="45CF7DE0" w:rsidR="00A728C8" w:rsidRPr="003117B3" w:rsidRDefault="00A728C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Definiția ajustată conform modificărilor efectuate prin Regulamentul (UE) 2019/876 al Parlamentului European și al Consiliului din 20 mai 2019.</w:t>
            </w:r>
          </w:p>
          <w:p w14:paraId="4AB0B013" w14:textId="204EBCDE" w:rsidR="00D431EF" w:rsidRPr="003117B3" w:rsidRDefault="00DD2EE9" w:rsidP="00D431EF">
            <w:pPr>
              <w:spacing w:line="276" w:lineRule="auto"/>
              <w:rPr>
                <w:rFonts w:ascii="Times New Roman" w:hAnsi="Times New Roman" w:cs="Times New Roman"/>
                <w:color w:val="000000" w:themeColor="text1"/>
                <w:lang w:val="ro-MD"/>
              </w:rPr>
            </w:pPr>
            <w:r w:rsidRPr="003117B3" w:rsidDel="00DD2EE9">
              <w:rPr>
                <w:rFonts w:ascii="Times New Roman" w:hAnsi="Times New Roman" w:cs="Times New Roman"/>
                <w:color w:val="000000" w:themeColor="text1"/>
                <w:lang w:val="ro-MD"/>
              </w:rPr>
              <w:lastRenderedPageBreak/>
              <w:t xml:space="preserve"> </w:t>
            </w:r>
          </w:p>
        </w:tc>
        <w:tc>
          <w:tcPr>
            <w:tcW w:w="674" w:type="pct"/>
          </w:tcPr>
          <w:p w14:paraId="775F92EE"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2F11C6B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8CA5332"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11. «active de nivel 1» înseamnă active cu un nivel extrem de ridicat de lichiditate și de calitate a creditului, astfel cum se prevede la articolul 416 alineatul (1) al doilea paragraf; </w:t>
            </w:r>
          </w:p>
        </w:tc>
        <w:tc>
          <w:tcPr>
            <w:tcW w:w="1249" w:type="pct"/>
          </w:tcPr>
          <w:p w14:paraId="34E69E66" w14:textId="6F63549B" w:rsidR="00D431EF" w:rsidRPr="003117B3" w:rsidRDefault="00C14FD7" w:rsidP="00D278DB">
            <w:pPr>
              <w:spacing w:after="0" w:line="276" w:lineRule="auto"/>
              <w:jc w:val="both"/>
              <w:rPr>
                <w:rFonts w:ascii="Times New Roman" w:hAnsi="Times New Roman" w:cs="Times New Roman"/>
                <w:color w:val="000000" w:themeColor="text1"/>
                <w:lang w:val="ro-MD"/>
              </w:rPr>
            </w:pPr>
            <w:r w:rsidRPr="003117B3">
              <w:rPr>
                <w:rFonts w:ascii="Times New Roman" w:hAnsi="Times New Roman" w:cs="Times New Roman"/>
                <w:bCs/>
                <w:color w:val="000000" w:themeColor="text1"/>
                <w:lang w:val="ro-RO"/>
              </w:rPr>
              <w:t xml:space="preserve">1) „active de nivel 1” înseamnă active cu un nivel extrem de ridicat de lichiditate și de calitate a creditului în conformitate cu secțiunea 2, capitolul II, titlul II; </w:t>
            </w:r>
          </w:p>
        </w:tc>
        <w:tc>
          <w:tcPr>
            <w:tcW w:w="336" w:type="pct"/>
          </w:tcPr>
          <w:p w14:paraId="0E5784DA"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11A0C395" w14:textId="52D0BFC1" w:rsidR="00D431EF" w:rsidRPr="003117B3" w:rsidRDefault="00A728C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it-IT"/>
              </w:rPr>
              <w:t xml:space="preserve"> Definiția </w:t>
            </w:r>
            <w:r w:rsidRPr="003117B3">
              <w:rPr>
                <w:rFonts w:ascii="Times New Roman" w:hAnsi="Times New Roman" w:cs="Times New Roman"/>
                <w:color w:val="000000" w:themeColor="text1"/>
                <w:lang w:val="ro-MD"/>
              </w:rPr>
              <w:t>ajustată conform modificărilor efectuate prin Regulamentul (UE) 2019/876 al Parlamentului European și al Consiliului din 20 mai 2019.</w:t>
            </w:r>
          </w:p>
        </w:tc>
        <w:tc>
          <w:tcPr>
            <w:tcW w:w="674" w:type="pct"/>
          </w:tcPr>
          <w:p w14:paraId="5F7BE51F"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11618BB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801C00F"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12. «active de nivel 2» înseamnă active cu un nivel ridicat de lichiditate și de calitate a creditului, astfel cum se prevede la articolul 416 alineatul (1) al doilea paragraf din prezentul regulament; activele de nivel 2 sunt împărțite, la rândul lor, în active de nivel 2A și active de nivel 2B astfel cum se prevede în actul delegat menționat la articolul 460 alineatul (1); </w:t>
            </w:r>
          </w:p>
        </w:tc>
        <w:tc>
          <w:tcPr>
            <w:tcW w:w="1249" w:type="pct"/>
          </w:tcPr>
          <w:p w14:paraId="548E9958" w14:textId="4E53B46C" w:rsidR="00D431EF" w:rsidRPr="003117B3" w:rsidRDefault="00B04208" w:rsidP="00D278DB">
            <w:pPr>
              <w:tabs>
                <w:tab w:val="left" w:pos="1134"/>
              </w:tabs>
              <w:spacing w:after="0" w:line="240" w:lineRule="auto"/>
              <w:jc w:val="both"/>
              <w:rPr>
                <w:rFonts w:ascii="Times New Roman" w:hAnsi="Times New Roman" w:cs="Times New Roman"/>
                <w:color w:val="000000" w:themeColor="text1"/>
                <w:lang w:val="ro-RO"/>
              </w:rPr>
            </w:pPr>
            <w:r w:rsidRPr="003117B3">
              <w:rPr>
                <w:rFonts w:ascii="Times New Roman" w:hAnsi="Times New Roman" w:cs="Times New Roman"/>
                <w:bCs/>
                <w:color w:val="000000" w:themeColor="text1"/>
                <w:lang w:val="ro-RO"/>
              </w:rPr>
              <w:t>2) „active de nivel 2” înseamnă active cu un nivel ridicat de lichiditate și de calitate a creditului. Activele de nivel 2 sunt subîmpărțite în active de nivel 2A și în active de nivel 2B, în conformitate cu secțiunea 2, capitolul II, titlul II;</w:t>
            </w:r>
          </w:p>
        </w:tc>
        <w:tc>
          <w:tcPr>
            <w:tcW w:w="336" w:type="pct"/>
          </w:tcPr>
          <w:p w14:paraId="7D9D9B5C"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0B9F096F" w14:textId="5E274AFA" w:rsidR="00D431EF" w:rsidRPr="003117B3" w:rsidRDefault="00A728C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Definiția ajustată conform modificărilor efectuate prin Regulamentul (UE) 2019/876 al Parlamentului European și al Consiliului din 20 mai 2019.</w:t>
            </w:r>
          </w:p>
        </w:tc>
        <w:tc>
          <w:tcPr>
            <w:tcW w:w="674" w:type="pct"/>
          </w:tcPr>
          <w:p w14:paraId="6F39A450"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2BD1C014"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639F905"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13. «rezervă de lichidități» înseamnă cuantumul activelor de nivel 1 și de nivel 2 pe care o instituție le deține în conformitate cu actul delegat menționat la articolul 460 alineatul (1); </w:t>
            </w:r>
          </w:p>
        </w:tc>
        <w:tc>
          <w:tcPr>
            <w:tcW w:w="1249" w:type="pct"/>
          </w:tcPr>
          <w:p w14:paraId="4BD56CD0" w14:textId="7C3D7071" w:rsidR="00D431EF" w:rsidRPr="003117B3" w:rsidRDefault="000B4B6C" w:rsidP="00D278DB">
            <w:pPr>
              <w:tabs>
                <w:tab w:val="left" w:pos="1134"/>
              </w:tabs>
              <w:spacing w:after="0" w:line="240" w:lineRule="auto"/>
              <w:jc w:val="both"/>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 xml:space="preserve">10) „rezervă de lichidități” înseamnă </w:t>
            </w:r>
            <w:r w:rsidR="00DD2EE9" w:rsidRPr="003117B3">
              <w:rPr>
                <w:rFonts w:ascii="Times New Roman" w:eastAsia="Arial Unicode MS" w:hAnsi="Times New Roman" w:cs="Times New Roman"/>
                <w:bCs/>
                <w:color w:val="000000" w:themeColor="text1"/>
                <w:lang w:val="ro-RO"/>
              </w:rPr>
              <w:t xml:space="preserve">cuantumul activelor de nivel 1 și de nivel 2 </w:t>
            </w:r>
            <w:r w:rsidRPr="003117B3">
              <w:rPr>
                <w:rFonts w:ascii="Times New Roman" w:eastAsia="Arial Unicode MS" w:hAnsi="Times New Roman" w:cs="Times New Roman"/>
                <w:bCs/>
                <w:color w:val="000000" w:themeColor="text1"/>
                <w:lang w:val="ro-RO"/>
              </w:rPr>
              <w:t>pe care o bancă îl deține în conformitate cu secțiunea 2, capitolul II</w:t>
            </w:r>
            <w:r w:rsidR="00DD2EE9" w:rsidRPr="003117B3">
              <w:rPr>
                <w:rFonts w:ascii="Times New Roman" w:eastAsia="Arial Unicode MS" w:hAnsi="Times New Roman" w:cs="Times New Roman"/>
                <w:bCs/>
                <w:color w:val="000000" w:themeColor="text1"/>
                <w:lang w:val="ro-RO"/>
              </w:rPr>
              <w:t>, titlul II</w:t>
            </w:r>
            <w:r w:rsidRPr="003117B3">
              <w:rPr>
                <w:rFonts w:ascii="Times New Roman" w:eastAsia="Arial Unicode MS" w:hAnsi="Times New Roman" w:cs="Times New Roman"/>
                <w:bCs/>
                <w:color w:val="000000" w:themeColor="text1"/>
                <w:lang w:val="ro-RO"/>
              </w:rPr>
              <w:t xml:space="preserve">; </w:t>
            </w:r>
          </w:p>
        </w:tc>
        <w:tc>
          <w:tcPr>
            <w:tcW w:w="336" w:type="pct"/>
          </w:tcPr>
          <w:p w14:paraId="55BC521C"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011C2F5E" w14:textId="77324F1A" w:rsidR="00D431EF" w:rsidRPr="003117B3" w:rsidRDefault="00DD2EE9" w:rsidP="00D431EF">
            <w:pPr>
              <w:spacing w:line="276" w:lineRule="auto"/>
              <w:rPr>
                <w:rFonts w:ascii="Times New Roman" w:hAnsi="Times New Roman" w:cs="Times New Roman"/>
                <w:color w:val="000000" w:themeColor="text1"/>
                <w:lang w:val="ro-MD"/>
              </w:rPr>
            </w:pPr>
            <w:r w:rsidRPr="003117B3" w:rsidDel="00DD2EE9">
              <w:rPr>
                <w:rFonts w:ascii="Times New Roman" w:hAnsi="Times New Roman" w:cs="Times New Roman"/>
                <w:color w:val="000000" w:themeColor="text1"/>
                <w:lang w:val="ro-MD"/>
              </w:rPr>
              <w:t xml:space="preserve"> </w:t>
            </w:r>
            <w:r w:rsidR="00A728C8" w:rsidRPr="003117B3">
              <w:rPr>
                <w:rFonts w:ascii="Times New Roman" w:hAnsi="Times New Roman" w:cs="Times New Roman"/>
                <w:color w:val="000000" w:themeColor="text1"/>
                <w:lang w:val="ro-MD"/>
              </w:rPr>
              <w:t>Definiția ajustată conform modificărilor efectuate prin Regulamentul (UE) 2019/876 al Parlamentului European și al Consiliului din 20 mai 2019.</w:t>
            </w:r>
          </w:p>
        </w:tc>
        <w:tc>
          <w:tcPr>
            <w:tcW w:w="674" w:type="pct"/>
          </w:tcPr>
          <w:p w14:paraId="3151D7D4"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0FAB71CD"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8C27900"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lastRenderedPageBreak/>
              <w:t xml:space="preserve">M8 </w:t>
            </w:r>
            <w:r w:rsidRPr="003117B3">
              <w:rPr>
                <w:rFonts w:ascii="Times New Roman" w:hAnsi="Times New Roman" w:cs="Times New Roman"/>
                <w:color w:val="000000" w:themeColor="text1"/>
                <w:lang w:val="ro-MD"/>
              </w:rPr>
              <w:t xml:space="preserve">14. «ieșiri nete de lichidități» înseamnă cuantumul care rezultă din scăderea intrărilor de lichidități ale unei instituții din ieșirile sale de lichidități; </w:t>
            </w:r>
          </w:p>
        </w:tc>
        <w:tc>
          <w:tcPr>
            <w:tcW w:w="1249" w:type="pct"/>
          </w:tcPr>
          <w:p w14:paraId="2EF073ED" w14:textId="5C0F9DC1" w:rsidR="00D431EF" w:rsidRPr="003117B3" w:rsidRDefault="000B4B6C" w:rsidP="00D278DB">
            <w:pPr>
              <w:tabs>
                <w:tab w:val="left" w:pos="1134"/>
              </w:tabs>
              <w:spacing w:after="0" w:line="240" w:lineRule="auto"/>
              <w:jc w:val="both"/>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8) „ieșiri nete de lichidități” înseamnă cuantumul care rezultă din scăderea intrărilor de lichidități ale unei bănci din ieșirile sale de lichidități, în conformitate cu secțiunea 1, capitolul III</w:t>
            </w:r>
            <w:r w:rsidR="004938A2" w:rsidRPr="003117B3">
              <w:rPr>
                <w:rFonts w:ascii="Times New Roman" w:eastAsia="Arial Unicode MS" w:hAnsi="Times New Roman" w:cs="Times New Roman"/>
                <w:bCs/>
                <w:color w:val="000000" w:themeColor="text1"/>
                <w:lang w:val="ro-RO"/>
              </w:rPr>
              <w:t>, titlul II</w:t>
            </w:r>
            <w:r w:rsidRPr="003117B3">
              <w:rPr>
                <w:rFonts w:ascii="Times New Roman" w:eastAsia="Arial Unicode MS" w:hAnsi="Times New Roman" w:cs="Times New Roman"/>
                <w:bCs/>
                <w:color w:val="000000" w:themeColor="text1"/>
                <w:lang w:val="ro-RO"/>
              </w:rPr>
              <w:t>;</w:t>
            </w:r>
          </w:p>
        </w:tc>
        <w:tc>
          <w:tcPr>
            <w:tcW w:w="336" w:type="pct"/>
          </w:tcPr>
          <w:p w14:paraId="599C1247"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53761D10" w14:textId="5988DBCE" w:rsidR="004938A2" w:rsidRPr="003117B3" w:rsidRDefault="00A728C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Definiția ajustată conform modificărilor efectuate prin Regulamentul (UE) 2019/876 al Parlamentului European și al Consiliului din 20 mai 2019.</w:t>
            </w:r>
          </w:p>
        </w:tc>
        <w:tc>
          <w:tcPr>
            <w:tcW w:w="674" w:type="pct"/>
          </w:tcPr>
          <w:p w14:paraId="7545BE89"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242A124E"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F398BD5"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15. «monedă de raportare» înseamnă moneda statului membru în care este situat sediul central al instituției; </w:t>
            </w:r>
          </w:p>
        </w:tc>
        <w:tc>
          <w:tcPr>
            <w:tcW w:w="1249" w:type="pct"/>
          </w:tcPr>
          <w:p w14:paraId="1DB6335D" w14:textId="43CB0553" w:rsidR="00D431EF" w:rsidRPr="003117B3" w:rsidRDefault="004938A2" w:rsidP="00D278DB">
            <w:pPr>
              <w:pStyle w:val="CommentText"/>
              <w:tabs>
                <w:tab w:val="left" w:pos="1134"/>
              </w:tabs>
              <w:jc w:val="both"/>
              <w:rPr>
                <w:rFonts w:eastAsia="Arial Unicode MS"/>
                <w:bCs/>
                <w:color w:val="000000" w:themeColor="text1"/>
                <w:sz w:val="22"/>
                <w:szCs w:val="22"/>
                <w:lang w:val="ro-RO"/>
              </w:rPr>
            </w:pPr>
            <w:r w:rsidRPr="003117B3">
              <w:rPr>
                <w:rFonts w:eastAsia="Arial Unicode MS"/>
                <w:bCs/>
                <w:color w:val="000000" w:themeColor="text1"/>
                <w:sz w:val="22"/>
                <w:szCs w:val="22"/>
                <w:lang w:val="ro-RO"/>
              </w:rPr>
              <w:t>9</w:t>
            </w:r>
            <w:r w:rsidR="00963ED5" w:rsidRPr="003117B3">
              <w:rPr>
                <w:rFonts w:eastAsia="Arial Unicode MS"/>
                <w:bCs/>
                <w:color w:val="000000" w:themeColor="text1"/>
                <w:sz w:val="22"/>
                <w:szCs w:val="22"/>
                <w:vertAlign w:val="superscript"/>
                <w:lang w:val="ro-RO"/>
              </w:rPr>
              <w:t>1</w:t>
            </w:r>
            <w:r w:rsidRPr="003117B3">
              <w:rPr>
                <w:rFonts w:eastAsia="Arial Unicode MS"/>
                <w:bCs/>
                <w:color w:val="000000" w:themeColor="text1"/>
                <w:sz w:val="22"/>
                <w:szCs w:val="22"/>
                <w:lang w:val="ro-RO"/>
              </w:rPr>
              <w:t>) „monedă de raportare” înseamnă leul moldovenesc.</w:t>
            </w:r>
          </w:p>
        </w:tc>
        <w:tc>
          <w:tcPr>
            <w:tcW w:w="336" w:type="pct"/>
          </w:tcPr>
          <w:p w14:paraId="71DD271C" w14:textId="603C72AB" w:rsidR="00D431EF" w:rsidRPr="003117B3" w:rsidRDefault="00A728C8"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2D616EE7" w14:textId="53FE6AF9" w:rsidR="00D431EF" w:rsidRPr="003117B3" w:rsidRDefault="00A728C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Definiția ajustată conform modificărilor efectuate prin Regulamentul (UE) 2019/876 al Parlamentului European și al Consiliului din 20 mai 2019.</w:t>
            </w:r>
          </w:p>
        </w:tc>
        <w:tc>
          <w:tcPr>
            <w:tcW w:w="674" w:type="pct"/>
          </w:tcPr>
          <w:p w14:paraId="0DE84EF7"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2C00B30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D0CF321"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16. «factoring» înseamnă un acord contractual între o întreprindere (aderent) și o entitate financiară (factor), prin care aderentul își cesionează/vinde creanțele către factor, iar factorul furnizează aderentului unul sau mai multe servicii dintre următoarele în ceea ce privește creanțele cesionate: </w:t>
            </w:r>
          </w:p>
          <w:p w14:paraId="74D82D0D"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(a) avansarea unui procent din valoarea creanțelor cesionate, de regulă pe termen scurt, neangajat și fără cumulare automată; </w:t>
            </w:r>
          </w:p>
          <w:p w14:paraId="24453380" w14:textId="77777777" w:rsidR="00D03B02"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(b) administrarea creanțelor, încasarea lor și protecția creditului; de regulă, factorul </w:t>
            </w:r>
            <w:r w:rsidRPr="003117B3">
              <w:rPr>
                <w:rFonts w:ascii="Times New Roman" w:hAnsi="Times New Roman" w:cs="Times New Roman"/>
                <w:color w:val="000000" w:themeColor="text1"/>
                <w:lang w:val="ro-MD"/>
              </w:rPr>
              <w:lastRenderedPageBreak/>
              <w:t>administrează registrul de vânzări al aderentului și încasează creanțele în numele său propriu;</w:t>
            </w:r>
          </w:p>
          <w:p w14:paraId="0DD57F02"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 în sensul titlului IV, factoringul este tratat drept finanțare a comerțului. </w:t>
            </w:r>
          </w:p>
        </w:tc>
        <w:tc>
          <w:tcPr>
            <w:tcW w:w="1249" w:type="pct"/>
          </w:tcPr>
          <w:p w14:paraId="27CACF8F" w14:textId="77777777" w:rsidR="004938A2" w:rsidRPr="003117B3" w:rsidRDefault="004938A2" w:rsidP="00D278DB">
            <w:pPr>
              <w:pStyle w:val="CM4"/>
              <w:tabs>
                <w:tab w:val="left" w:pos="1134"/>
              </w:tabs>
              <w:jc w:val="both"/>
              <w:rPr>
                <w:rFonts w:ascii="Times New Roman" w:eastAsia="Arial Unicode MS" w:hAnsi="Times New Roman"/>
                <w:bCs/>
                <w:color w:val="000000" w:themeColor="text1"/>
                <w:sz w:val="22"/>
                <w:szCs w:val="22"/>
                <w:lang w:val="ro-RO"/>
              </w:rPr>
            </w:pPr>
            <w:r w:rsidRPr="003117B3">
              <w:rPr>
                <w:rFonts w:ascii="Times New Roman" w:eastAsia="Arial Unicode MS" w:hAnsi="Times New Roman"/>
                <w:bCs/>
                <w:color w:val="000000" w:themeColor="text1"/>
                <w:sz w:val="22"/>
                <w:szCs w:val="22"/>
                <w:lang w:val="ro-RO"/>
              </w:rPr>
              <w:lastRenderedPageBreak/>
              <w:t>6</w:t>
            </w:r>
            <w:r w:rsidRPr="003117B3">
              <w:rPr>
                <w:rFonts w:ascii="Times New Roman" w:eastAsia="Arial Unicode MS" w:hAnsi="Times New Roman"/>
                <w:bCs/>
                <w:color w:val="000000" w:themeColor="text1"/>
                <w:sz w:val="22"/>
                <w:szCs w:val="22"/>
                <w:vertAlign w:val="superscript"/>
                <w:lang w:val="ro-RO"/>
              </w:rPr>
              <w:t>2</w:t>
            </w:r>
            <w:r w:rsidRPr="003117B3">
              <w:rPr>
                <w:rFonts w:ascii="Times New Roman" w:eastAsia="Arial Unicode MS" w:hAnsi="Times New Roman"/>
                <w:bCs/>
                <w:color w:val="000000" w:themeColor="text1"/>
                <w:sz w:val="22"/>
                <w:szCs w:val="22"/>
                <w:lang w:val="ro-RO"/>
              </w:rPr>
              <w:t xml:space="preserve">) „factoring” înseamnă un acord contractual între o întreprindere (aderent) și o entitate financiară (factor), prin care aderentul își cesionează/vinde creanțele către factor, iar factorul furnizează aderentului unul sau mai multe servicii dintre următoarele în ceea ce privește creanțele cesionate: </w:t>
            </w:r>
          </w:p>
          <w:p w14:paraId="2A896DFA" w14:textId="77777777" w:rsidR="004938A2" w:rsidRPr="003117B3" w:rsidRDefault="004938A2" w:rsidP="00D278DB">
            <w:pPr>
              <w:pStyle w:val="CM4"/>
              <w:tabs>
                <w:tab w:val="left" w:pos="1134"/>
              </w:tabs>
              <w:jc w:val="both"/>
              <w:rPr>
                <w:rFonts w:ascii="Times New Roman" w:eastAsia="Arial Unicode MS" w:hAnsi="Times New Roman"/>
                <w:bCs/>
                <w:color w:val="000000" w:themeColor="text1"/>
                <w:sz w:val="22"/>
                <w:szCs w:val="22"/>
                <w:lang w:val="ro-RO"/>
              </w:rPr>
            </w:pPr>
            <w:r w:rsidRPr="003117B3">
              <w:rPr>
                <w:rFonts w:ascii="Times New Roman" w:eastAsia="Arial Unicode MS" w:hAnsi="Times New Roman"/>
                <w:bCs/>
                <w:color w:val="000000" w:themeColor="text1"/>
                <w:sz w:val="22"/>
                <w:szCs w:val="22"/>
                <w:lang w:val="ro-RO"/>
              </w:rPr>
              <w:t xml:space="preserve">a) avansarea unui procent din valoarea creanțelor cesionate, de regulă pe termen scurt, neangajat și fără cumulare automată; </w:t>
            </w:r>
          </w:p>
          <w:p w14:paraId="754CDF2B" w14:textId="77777777" w:rsidR="004938A2" w:rsidRPr="003117B3" w:rsidRDefault="004938A2" w:rsidP="00D278DB">
            <w:pPr>
              <w:pStyle w:val="CM4"/>
              <w:tabs>
                <w:tab w:val="left" w:pos="1134"/>
              </w:tabs>
              <w:jc w:val="both"/>
              <w:rPr>
                <w:rFonts w:ascii="Times New Roman" w:eastAsia="Arial Unicode MS" w:hAnsi="Times New Roman"/>
                <w:bCs/>
                <w:color w:val="000000" w:themeColor="text1"/>
                <w:sz w:val="22"/>
                <w:szCs w:val="22"/>
                <w:lang w:val="ro-RO"/>
              </w:rPr>
            </w:pPr>
            <w:r w:rsidRPr="003117B3">
              <w:rPr>
                <w:rFonts w:ascii="Times New Roman" w:eastAsia="Arial Unicode MS" w:hAnsi="Times New Roman"/>
                <w:bCs/>
                <w:color w:val="000000" w:themeColor="text1"/>
                <w:sz w:val="22"/>
                <w:szCs w:val="22"/>
                <w:lang w:val="ro-RO"/>
              </w:rPr>
              <w:t xml:space="preserve">b) administrarea creanțelor, încasarea lor și protecția creditului; de regulă, factorul administrează registrul de </w:t>
            </w:r>
            <w:r w:rsidRPr="003117B3">
              <w:rPr>
                <w:rFonts w:ascii="Times New Roman" w:eastAsia="Arial Unicode MS" w:hAnsi="Times New Roman"/>
                <w:bCs/>
                <w:color w:val="000000" w:themeColor="text1"/>
                <w:sz w:val="22"/>
                <w:szCs w:val="22"/>
                <w:lang w:val="ro-RO"/>
              </w:rPr>
              <w:lastRenderedPageBreak/>
              <w:t xml:space="preserve">vânzări al aderentului și încasează creanțele în numele său propriu; </w:t>
            </w:r>
          </w:p>
          <w:p w14:paraId="5E6292F1" w14:textId="5E23D4F2" w:rsidR="00D431EF" w:rsidRPr="003117B3" w:rsidRDefault="004938A2" w:rsidP="00D278DB">
            <w:pPr>
              <w:pStyle w:val="CM4"/>
              <w:tabs>
                <w:tab w:val="left" w:pos="1134"/>
              </w:tabs>
              <w:jc w:val="both"/>
              <w:rPr>
                <w:rFonts w:ascii="Times New Roman" w:hAnsi="Times New Roman"/>
                <w:color w:val="000000" w:themeColor="text1"/>
                <w:sz w:val="22"/>
                <w:szCs w:val="22"/>
                <w:lang w:val="ro-RO"/>
              </w:rPr>
            </w:pPr>
            <w:r w:rsidRPr="003117B3">
              <w:rPr>
                <w:rFonts w:ascii="Times New Roman" w:eastAsia="Arial Unicode MS" w:hAnsi="Times New Roman"/>
                <w:bCs/>
                <w:color w:val="000000" w:themeColor="text1"/>
                <w:sz w:val="22"/>
                <w:szCs w:val="22"/>
                <w:lang w:val="ro-RO"/>
              </w:rPr>
              <w:t>în sensul titlului III, factoringul este tratat drept finanțare a comerțului.</w:t>
            </w:r>
          </w:p>
        </w:tc>
        <w:tc>
          <w:tcPr>
            <w:tcW w:w="336" w:type="pct"/>
          </w:tcPr>
          <w:p w14:paraId="06AC1613" w14:textId="187E28F9" w:rsidR="00D431EF" w:rsidRPr="003117B3" w:rsidRDefault="00BE4C1C"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3D36B05D" w14:textId="2771D1FB" w:rsidR="00D431EF" w:rsidRPr="003117B3" w:rsidRDefault="00A728C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Definiția transpusă conform modificărilor efectuate prin Regulamentul (UE) 2019/876 al Parlamentului European și al Consiliului din 20 mai 2019.</w:t>
            </w:r>
          </w:p>
        </w:tc>
        <w:tc>
          <w:tcPr>
            <w:tcW w:w="674" w:type="pct"/>
          </w:tcPr>
          <w:p w14:paraId="7618AF0E"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0C03CC4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1E118FE"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M8 </w:t>
            </w:r>
            <w:r w:rsidRPr="003117B3">
              <w:rPr>
                <w:rFonts w:ascii="Times New Roman" w:hAnsi="Times New Roman" w:cs="Times New Roman"/>
                <w:color w:val="000000" w:themeColor="text1"/>
                <w:lang w:val="ro-MD"/>
              </w:rPr>
              <w:t xml:space="preserve">17. «facilitate de credit sau de lichiditate angajată» înseamnă o facilitate de credit sau de lichiditate care este irevocabilă sau revocabilă în anumite condiții.”; </w:t>
            </w:r>
          </w:p>
        </w:tc>
        <w:tc>
          <w:tcPr>
            <w:tcW w:w="1249" w:type="pct"/>
          </w:tcPr>
          <w:p w14:paraId="23888F02" w14:textId="1FAD2DF8" w:rsidR="00D431EF" w:rsidRPr="003117B3" w:rsidRDefault="00992060" w:rsidP="00D278DB">
            <w:pPr>
              <w:pStyle w:val="CM4"/>
              <w:tabs>
                <w:tab w:val="left" w:pos="1134"/>
              </w:tabs>
              <w:jc w:val="both"/>
              <w:rPr>
                <w:rFonts w:ascii="Times New Roman" w:hAnsi="Times New Roman"/>
                <w:color w:val="000000" w:themeColor="text1"/>
                <w:sz w:val="22"/>
                <w:szCs w:val="22"/>
                <w:lang w:val="ro-RO"/>
              </w:rPr>
            </w:pPr>
            <w:r w:rsidRPr="003117B3">
              <w:rPr>
                <w:rFonts w:ascii="Times New Roman" w:eastAsia="Arial Unicode MS" w:hAnsi="Times New Roman"/>
                <w:bCs/>
                <w:color w:val="000000" w:themeColor="text1"/>
                <w:sz w:val="22"/>
                <w:szCs w:val="22"/>
                <w:lang w:val="ro-RO"/>
              </w:rPr>
              <w:t>6</w:t>
            </w:r>
            <w:r w:rsidRPr="003117B3">
              <w:rPr>
                <w:rFonts w:ascii="Times New Roman" w:eastAsia="Arial Unicode MS" w:hAnsi="Times New Roman"/>
                <w:bCs/>
                <w:color w:val="000000" w:themeColor="text1"/>
                <w:sz w:val="22"/>
                <w:szCs w:val="22"/>
                <w:vertAlign w:val="superscript"/>
                <w:lang w:val="ro-RO"/>
              </w:rPr>
              <w:t>1</w:t>
            </w:r>
            <w:r w:rsidRPr="003117B3">
              <w:rPr>
                <w:rFonts w:ascii="Times New Roman" w:eastAsia="Arial Unicode MS" w:hAnsi="Times New Roman"/>
                <w:bCs/>
                <w:color w:val="000000" w:themeColor="text1"/>
                <w:sz w:val="22"/>
                <w:szCs w:val="22"/>
                <w:lang w:val="ro-RO"/>
              </w:rPr>
              <w:t>)</w:t>
            </w:r>
            <w:r w:rsidRPr="003117B3">
              <w:rPr>
                <w:rFonts w:ascii="Times New Roman" w:hAnsi="Times New Roman"/>
                <w:color w:val="000000" w:themeColor="text1"/>
                <w:sz w:val="22"/>
                <w:szCs w:val="22"/>
                <w:lang w:val="ro-MD"/>
              </w:rPr>
              <w:t xml:space="preserve"> </w:t>
            </w:r>
            <w:r w:rsidRPr="003117B3">
              <w:rPr>
                <w:rFonts w:ascii="Times New Roman" w:eastAsia="Arial Unicode MS" w:hAnsi="Times New Roman"/>
                <w:bCs/>
                <w:color w:val="000000" w:themeColor="text1"/>
                <w:sz w:val="22"/>
                <w:szCs w:val="22"/>
                <w:lang w:val="ro-RO"/>
              </w:rPr>
              <w:t>„facilitate de credit sau de lichiditate angajată” înseamnă o facilitate de credit sau de lichiditate care este irevocabilă sau revocabilă în anumite condiții;</w:t>
            </w:r>
          </w:p>
        </w:tc>
        <w:tc>
          <w:tcPr>
            <w:tcW w:w="336" w:type="pct"/>
          </w:tcPr>
          <w:p w14:paraId="48E3052F" w14:textId="7693E280" w:rsidR="00D431EF" w:rsidRPr="003117B3" w:rsidRDefault="00992060"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r w:rsidRPr="003117B3" w:rsidDel="00992060">
              <w:rPr>
                <w:rFonts w:ascii="Times New Roman" w:hAnsi="Times New Roman" w:cs="Times New Roman"/>
                <w:b/>
                <w:color w:val="000000" w:themeColor="text1"/>
                <w:lang w:val="ro-MD"/>
              </w:rPr>
              <w:t xml:space="preserve"> </w:t>
            </w:r>
          </w:p>
        </w:tc>
        <w:tc>
          <w:tcPr>
            <w:tcW w:w="1153" w:type="pct"/>
          </w:tcPr>
          <w:p w14:paraId="484AC486" w14:textId="7B9B44D9" w:rsidR="00D431EF" w:rsidRPr="003117B3" w:rsidRDefault="00A728C8" w:rsidP="00A728C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Definiția transpusă conform modificărilor efectuate prin Regulamentul (UE) 2019/876 al Parlamentului European și al Consiliului din 20 mai 2019.</w:t>
            </w:r>
          </w:p>
        </w:tc>
        <w:tc>
          <w:tcPr>
            <w:tcW w:w="674" w:type="pct"/>
          </w:tcPr>
          <w:p w14:paraId="77622A75"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11A1A72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8C0B0B7" w14:textId="40BE9E45" w:rsidR="00D431EF" w:rsidRPr="003117B3" w:rsidRDefault="009C6D06" w:rsidP="009C6D06">
            <w:pPr>
              <w:spacing w:line="276" w:lineRule="auto"/>
              <w:rPr>
                <w:rFonts w:ascii="Times New Roman" w:hAnsi="Times New Roman" w:cs="Times New Roman"/>
                <w:color w:val="000000" w:themeColor="text1"/>
                <w:lang w:val="ro-MD"/>
              </w:rPr>
            </w:pPr>
            <w:r w:rsidRPr="003117B3">
              <w:rPr>
                <w:rFonts w:ascii="Times New Roman" w:hAnsi="Times New Roman" w:cs="Times New Roman"/>
                <w:b/>
                <w:bCs/>
                <w:color w:val="000000" w:themeColor="text1"/>
                <w:lang w:val="it-IT"/>
              </w:rPr>
              <w:t xml:space="preserve">▼M9 </w:t>
            </w:r>
            <w:r w:rsidR="00C540B7" w:rsidRPr="003117B3">
              <w:rPr>
                <w:rFonts w:ascii="Times New Roman" w:hAnsi="Times New Roman" w:cs="Times New Roman"/>
                <w:color w:val="000000" w:themeColor="text1"/>
                <w:lang w:val="ro-MD"/>
              </w:rPr>
              <w:t xml:space="preserve">26. „instituţie financiară” înseamnă o întreprindere, alta decât o instituţie și alta decât un holding pur industrial, a cărei activitate principală constă în dobândirea de deţineri sau în desfășurarea uneia sau a mai multor activităţi enumerate la punctele 2-12 și punctul 15 din anexa I la Directiva 2013/36/UE, inclusiv o firmă de investiţii, o societate financiară holding, o societate financiară holding mixtă, o societate de investiţii holding, o instituţie de plată în sensul Directivei (UE) 2015/2366 a Parlamentului European și a Consiliului ( 1 ) și o societate de administrare a activelor, dar cu excluderea holdingurilor de asigurare și a holdingurilor mixte </w:t>
            </w:r>
            <w:r w:rsidR="00C540B7" w:rsidRPr="003117B3">
              <w:rPr>
                <w:rFonts w:ascii="Times New Roman" w:hAnsi="Times New Roman" w:cs="Times New Roman"/>
                <w:color w:val="000000" w:themeColor="text1"/>
                <w:lang w:val="ro-MD"/>
              </w:rPr>
              <w:lastRenderedPageBreak/>
              <w:t>de asigurare, astfel cum sunt definite la articolul 212 alineatul (1) literele (f) și (g) din Directiva 2009/138/CE;</w:t>
            </w:r>
          </w:p>
        </w:tc>
        <w:tc>
          <w:tcPr>
            <w:tcW w:w="1249" w:type="pct"/>
          </w:tcPr>
          <w:p w14:paraId="634805B0" w14:textId="3B1C7E9F" w:rsidR="00D431EF" w:rsidRPr="003117B3" w:rsidRDefault="00D431EF" w:rsidP="00D431EF">
            <w:pPr>
              <w:spacing w:after="0" w:line="276" w:lineRule="auto"/>
              <w:jc w:val="both"/>
              <w:rPr>
                <w:rFonts w:ascii="Times New Roman" w:hAnsi="Times New Roman" w:cs="Times New Roman"/>
                <w:color w:val="000000" w:themeColor="text1"/>
                <w:lang w:val="ro-MD"/>
              </w:rPr>
            </w:pPr>
          </w:p>
        </w:tc>
        <w:tc>
          <w:tcPr>
            <w:tcW w:w="336" w:type="pct"/>
          </w:tcPr>
          <w:p w14:paraId="5D0F2D64" w14:textId="18049200" w:rsidR="00D431EF" w:rsidRPr="003117B3" w:rsidRDefault="00BD59C6"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2A4D4A38" w14:textId="6709D6A9" w:rsidR="00D431EF" w:rsidRPr="003117B3" w:rsidRDefault="00A728C8" w:rsidP="009A4B4A">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Definiția </w:t>
            </w:r>
            <w:r w:rsidR="009A4B4A" w:rsidRPr="003117B3">
              <w:rPr>
                <w:rFonts w:ascii="Times New Roman" w:hAnsi="Times New Roman" w:cs="Times New Roman"/>
                <w:color w:val="000000" w:themeColor="text1"/>
                <w:lang w:val="ro-MD"/>
              </w:rPr>
              <w:t>„instituție financiară” a fost transpusă în Legea nr.202/2017 ca „societate financiară nonbancară”.</w:t>
            </w:r>
          </w:p>
        </w:tc>
        <w:tc>
          <w:tcPr>
            <w:tcW w:w="674" w:type="pct"/>
          </w:tcPr>
          <w:p w14:paraId="7225079B"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4E59C78D"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196D8CB" w14:textId="77777777" w:rsidR="00D431EF" w:rsidRPr="003117B3" w:rsidRDefault="00D431EF" w:rsidP="00D431EF">
            <w:pPr>
              <w:spacing w:line="276" w:lineRule="auto"/>
              <w:rPr>
                <w:rFonts w:ascii="Times New Roman" w:hAnsi="Times New Roman" w:cs="Times New Roman"/>
                <w:b/>
                <w:color w:val="000000" w:themeColor="text1"/>
                <w:lang w:val="ro-MD"/>
              </w:rPr>
            </w:pPr>
          </w:p>
        </w:tc>
        <w:tc>
          <w:tcPr>
            <w:tcW w:w="1249" w:type="pct"/>
          </w:tcPr>
          <w:p w14:paraId="130791C1" w14:textId="77777777" w:rsidR="00D431EF" w:rsidRPr="003117B3" w:rsidRDefault="00D431EF" w:rsidP="00D431EF">
            <w:pPr>
              <w:spacing w:after="0" w:line="276" w:lineRule="auto"/>
              <w:jc w:val="both"/>
              <w:rPr>
                <w:rFonts w:ascii="Times New Roman" w:hAnsi="Times New Roman" w:cs="Times New Roman"/>
                <w:color w:val="000000" w:themeColor="text1"/>
                <w:lang w:val="ro-MD"/>
              </w:rPr>
            </w:pPr>
          </w:p>
        </w:tc>
        <w:tc>
          <w:tcPr>
            <w:tcW w:w="336" w:type="pct"/>
          </w:tcPr>
          <w:p w14:paraId="246F60D3"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c>
          <w:tcPr>
            <w:tcW w:w="1153" w:type="pct"/>
          </w:tcPr>
          <w:p w14:paraId="5FE2371C" w14:textId="77777777" w:rsidR="00D431EF" w:rsidRPr="003117B3" w:rsidRDefault="00D431EF" w:rsidP="00D431EF">
            <w:pPr>
              <w:spacing w:line="276" w:lineRule="auto"/>
              <w:rPr>
                <w:rFonts w:ascii="Times New Roman" w:hAnsi="Times New Roman" w:cs="Times New Roman"/>
                <w:color w:val="000000" w:themeColor="text1"/>
                <w:lang w:val="ro-MD"/>
              </w:rPr>
            </w:pPr>
          </w:p>
        </w:tc>
        <w:tc>
          <w:tcPr>
            <w:tcW w:w="674" w:type="pct"/>
          </w:tcPr>
          <w:p w14:paraId="04691510"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5C9FDADD"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54943A9"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Articolul 412</w:t>
            </w:r>
          </w:p>
          <w:p w14:paraId="46B5A99F"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Cerința de acoperire a necesarului de lichiditate</w:t>
            </w:r>
          </w:p>
        </w:tc>
        <w:tc>
          <w:tcPr>
            <w:tcW w:w="1249" w:type="pct"/>
          </w:tcPr>
          <w:p w14:paraId="7EDA6DE0" w14:textId="431D8EA3" w:rsidR="00AF560A" w:rsidRPr="003117B3" w:rsidRDefault="00D431EF" w:rsidP="00AF560A">
            <w:pPr>
              <w:tabs>
                <w:tab w:val="left" w:pos="1134"/>
              </w:tabs>
              <w:jc w:val="center"/>
              <w:rPr>
                <w:rFonts w:ascii="Times New Roman" w:eastAsia="Arial Unicode MS" w:hAnsi="Times New Roman" w:cs="Times New Roman"/>
                <w:b/>
                <w:bCs/>
                <w:color w:val="000000" w:themeColor="text1"/>
                <w:lang w:val="ro-RO"/>
              </w:rPr>
            </w:pPr>
            <w:r w:rsidRPr="003117B3">
              <w:rPr>
                <w:rFonts w:ascii="Times New Roman" w:hAnsi="Times New Roman" w:cs="Times New Roman"/>
                <w:b/>
                <w:color w:val="000000" w:themeColor="text1"/>
                <w:lang w:val="ro-MD"/>
              </w:rPr>
              <w:t xml:space="preserve">Secțiunea </w:t>
            </w:r>
            <w:r w:rsidR="008A0F80" w:rsidRPr="003117B3">
              <w:rPr>
                <w:rFonts w:ascii="Times New Roman" w:hAnsi="Times New Roman" w:cs="Times New Roman"/>
                <w:b/>
                <w:color w:val="000000" w:themeColor="text1"/>
                <w:lang w:val="ro-MD"/>
              </w:rPr>
              <w:t>3</w:t>
            </w:r>
            <w:r w:rsidR="00B015DF" w:rsidRPr="003117B3">
              <w:rPr>
                <w:rFonts w:ascii="Times New Roman" w:hAnsi="Times New Roman" w:cs="Times New Roman"/>
                <w:b/>
                <w:color w:val="000000" w:themeColor="text1"/>
                <w:lang w:val="ro-MD"/>
              </w:rPr>
              <w:t>.</w:t>
            </w:r>
          </w:p>
          <w:p w14:paraId="423922EF" w14:textId="1CB61F7E" w:rsidR="00D431EF" w:rsidRPr="003117B3" w:rsidRDefault="00AF560A" w:rsidP="00AF560A">
            <w:pPr>
              <w:spacing w:after="0" w:line="276" w:lineRule="auto"/>
              <w:jc w:val="both"/>
              <w:rPr>
                <w:rFonts w:ascii="Times New Roman" w:hAnsi="Times New Roman" w:cs="Times New Roman"/>
                <w:b/>
                <w:color w:val="000000" w:themeColor="text1"/>
                <w:lang w:val="ro-MD"/>
              </w:rPr>
            </w:pPr>
            <w:r w:rsidRPr="003117B3">
              <w:rPr>
                <w:rFonts w:ascii="Times New Roman" w:eastAsia="Arial Unicode MS" w:hAnsi="Times New Roman" w:cs="Times New Roman"/>
                <w:b/>
                <w:bCs/>
                <w:color w:val="000000" w:themeColor="text1"/>
                <w:lang w:val="ro-RO"/>
              </w:rPr>
              <w:t>Cerința de acoperire a necesarului de lichiditate</w:t>
            </w:r>
          </w:p>
        </w:tc>
        <w:tc>
          <w:tcPr>
            <w:tcW w:w="336" w:type="pct"/>
          </w:tcPr>
          <w:p w14:paraId="24FE136D"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1153" w:type="pct"/>
          </w:tcPr>
          <w:p w14:paraId="423C05F4"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674" w:type="pct"/>
          </w:tcPr>
          <w:p w14:paraId="13BD34D0"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r>
      <w:tr w:rsidR="003117B3" w:rsidRPr="003117B3" w14:paraId="392A358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B9C3F2D"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(1)  </w:t>
            </w:r>
            <w:r w:rsidRPr="003117B3">
              <w:rPr>
                <w:rFonts w:ascii="Times New Roman" w:hAnsi="Times New Roman" w:cs="Times New Roman"/>
                <w:color w:val="000000" w:themeColor="text1"/>
                <w:lang w:val="ro-MD"/>
              </w:rPr>
              <w:t>Instituțiile trebuie să dețină active lichide a căror valoare însumată acoperă diferența dintre ieșirile de lichidități și intrările de lichidități în situații de criză, astfel încât să fie asigurat faptul că instituțiile mențin niveluri ale rezervelor de lichiditate care sunt adecvate pentru a le permite să facă față eventualelor dezechilibre dintre intrările și ieșirile de lichidități în situații de criză gravă într-un interval de treizeci de zile. În perioade de criză, instituțiile își pot utiliza activele lichide pentru a-și acoperi ieșirile nete de lichidități.</w:t>
            </w:r>
          </w:p>
        </w:tc>
        <w:tc>
          <w:tcPr>
            <w:tcW w:w="1249" w:type="pct"/>
          </w:tcPr>
          <w:p w14:paraId="34309AF5"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6. Băncile trebuie să dețină active lichide a căror valoare însumată acoperă diferența dintre ieșirile de lichidități și intrările de lichidități în situații de criză. În acest scop băncile urmează să asigure menținerea nivelurilor rezervelor de lichiditate care sunt adecvate pentru a le permite să facă față eventualelor dezechilibre dintre intrările și ieșirile de lichidități în situații de criză într-o perioadă de 30 de zile.</w:t>
            </w:r>
          </w:p>
        </w:tc>
        <w:tc>
          <w:tcPr>
            <w:tcW w:w="336" w:type="pct"/>
          </w:tcPr>
          <w:p w14:paraId="47B57B5A"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1849F713" w14:textId="5FF5E49F"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din ultima propoziție referitoare la utilizarea activelor lichide în perioade de criză au fost transpuse din art.4 alin.(3) din Regulamentul delegat 2015/61 (a se vedea tabelul de concordanță a Regulamentului privind cerințele de lichiditate pentru bănci cu Regulamentul delegat 2015/61)</w:t>
            </w:r>
          </w:p>
        </w:tc>
        <w:tc>
          <w:tcPr>
            <w:tcW w:w="674" w:type="pct"/>
          </w:tcPr>
          <w:p w14:paraId="68986366"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60186B65"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CF93FE5" w14:textId="1BA81802" w:rsidR="00D431EF" w:rsidRPr="003117B3" w:rsidRDefault="00A65448" w:rsidP="00A65448">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M8</w:t>
            </w:r>
            <w:r w:rsidRPr="003117B3">
              <w:rPr>
                <w:rFonts w:ascii="Times New Roman" w:hAnsi="Times New Roman" w:cs="Times New Roman"/>
                <w:color w:val="000000" w:themeColor="text1"/>
                <w:lang w:val="ro-MD"/>
              </w:rPr>
              <w:t xml:space="preserve"> „(2)Instituțiile nu iau în calcul de două ori ieșirile de lichidități, intrările de lichidități și activele lichide. Cu excepția cazului în care se prevede altfel în actul delegat menționat la </w:t>
            </w:r>
            <w:r w:rsidRPr="003117B3">
              <w:rPr>
                <w:rFonts w:ascii="Times New Roman" w:hAnsi="Times New Roman" w:cs="Times New Roman"/>
                <w:color w:val="000000" w:themeColor="text1"/>
                <w:lang w:val="ro-MD"/>
              </w:rPr>
              <w:lastRenderedPageBreak/>
              <w:t xml:space="preserve">articolul 460 alineatul (1), în cazul în care un element poate fi luat în considerare în mai mult de o categorie de ieșiri, el este luat în considerare în categoria de ieșiri care produce cele mai mari ieșiri contractuale pentru elementul în cauză.”; </w:t>
            </w:r>
          </w:p>
        </w:tc>
        <w:tc>
          <w:tcPr>
            <w:tcW w:w="1249" w:type="pct"/>
          </w:tcPr>
          <w:p w14:paraId="4EDB98AE" w14:textId="3183F697" w:rsidR="00A95988" w:rsidRPr="003117B3" w:rsidRDefault="003711D4" w:rsidP="00D278DB">
            <w:pPr>
              <w:rPr>
                <w:rFonts w:ascii="Times New Roman" w:hAnsi="Times New Roman" w:cs="Times New Roman"/>
                <w:color w:val="000000" w:themeColor="text1"/>
                <w:lang w:val="ro-RO"/>
              </w:rPr>
            </w:pPr>
            <w:r w:rsidRPr="003117B3">
              <w:rPr>
                <w:rFonts w:ascii="Times New Roman" w:hAnsi="Times New Roman" w:cs="Times New Roman"/>
                <w:b/>
                <w:color w:val="000000" w:themeColor="text1"/>
                <w:lang w:val="ro-RO" w:eastAsia="ru-RU"/>
              </w:rPr>
              <w:lastRenderedPageBreak/>
              <w:t>6</w:t>
            </w:r>
            <w:r w:rsidRPr="003117B3">
              <w:rPr>
                <w:rFonts w:ascii="Times New Roman" w:hAnsi="Times New Roman" w:cs="Times New Roman"/>
                <w:b/>
                <w:color w:val="000000" w:themeColor="text1"/>
                <w:vertAlign w:val="superscript"/>
                <w:lang w:val="ro-RO" w:eastAsia="ru-RU"/>
              </w:rPr>
              <w:t>1</w:t>
            </w:r>
            <w:r w:rsidRPr="003117B3">
              <w:rPr>
                <w:rFonts w:ascii="Times New Roman" w:hAnsi="Times New Roman" w:cs="Times New Roman"/>
                <w:b/>
                <w:color w:val="000000" w:themeColor="text1"/>
                <w:lang w:val="ro-RO" w:eastAsia="ru-RU"/>
              </w:rPr>
              <w:t>.</w:t>
            </w:r>
            <w:r w:rsidRPr="003117B3">
              <w:rPr>
                <w:rFonts w:ascii="Times New Roman" w:hAnsi="Times New Roman" w:cs="Times New Roman"/>
                <w:color w:val="000000" w:themeColor="text1"/>
                <w:lang w:val="ro-RO" w:eastAsia="ru-RU"/>
              </w:rPr>
              <w:t xml:space="preserve"> Băncile nu iau în calcul de două ori ieșirile de lichidități, intrările de lichidități și activele lichide.</w:t>
            </w:r>
            <w:r w:rsidRPr="003117B3">
              <w:rPr>
                <w:rFonts w:ascii="Times New Roman" w:hAnsi="Times New Roman" w:cs="Times New Roman"/>
                <w:color w:val="000000" w:themeColor="text1"/>
                <w:lang w:val="it-IT"/>
              </w:rPr>
              <w:t xml:space="preserve"> </w:t>
            </w:r>
            <w:r w:rsidRPr="003117B3">
              <w:rPr>
                <w:rFonts w:ascii="Times New Roman" w:hAnsi="Times New Roman" w:cs="Times New Roman"/>
                <w:color w:val="000000" w:themeColor="text1"/>
                <w:lang w:val="ro-RO" w:eastAsia="ru-RU"/>
              </w:rPr>
              <w:t xml:space="preserve">Cu excepția cazului în care se prevede </w:t>
            </w:r>
            <w:r w:rsidRPr="003117B3">
              <w:rPr>
                <w:rFonts w:ascii="Times New Roman" w:hAnsi="Times New Roman" w:cs="Times New Roman"/>
                <w:color w:val="000000" w:themeColor="text1"/>
                <w:lang w:val="ro-RO" w:eastAsia="ru-RU"/>
              </w:rPr>
              <w:lastRenderedPageBreak/>
              <w:t>altfel în titlul II, în cazul în care un element poate fi luat în considerare în mai mult de o categorie de ieșiri, el este luat în considerare în categoria de ieșiri care produce cele mai mari ieșiri contractuale pentru elementul în cauză.</w:t>
            </w:r>
          </w:p>
        </w:tc>
        <w:tc>
          <w:tcPr>
            <w:tcW w:w="336" w:type="pct"/>
          </w:tcPr>
          <w:p w14:paraId="597D18B0" w14:textId="77777777" w:rsidR="00D431EF" w:rsidRPr="003117B3" w:rsidRDefault="00D431EF" w:rsidP="00D431EF">
            <w:pPr>
              <w:spacing w:line="276" w:lineRule="auto"/>
              <w:jc w:val="both"/>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2F28EABC" w14:textId="4C804C41" w:rsidR="00D431EF" w:rsidRPr="003117B3" w:rsidRDefault="00765D71" w:rsidP="00765D71">
            <w:pPr>
              <w:spacing w:line="276" w:lineRule="auto"/>
              <w:jc w:val="both"/>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Prevederile alin.(2) au fost ajustate în conformitate cu modificările </w:t>
            </w:r>
            <w:r w:rsidRPr="003117B3">
              <w:rPr>
                <w:rFonts w:ascii="Times New Roman" w:hAnsi="Times New Roman" w:cs="Times New Roman"/>
                <w:color w:val="000000" w:themeColor="text1"/>
                <w:lang w:val="ro-MD"/>
              </w:rPr>
              <w:lastRenderedPageBreak/>
              <w:t xml:space="preserve">efectuate în Regulamentul 575/2013 prin Regulamentul 2019/876 </w:t>
            </w:r>
          </w:p>
        </w:tc>
        <w:tc>
          <w:tcPr>
            <w:tcW w:w="674" w:type="pct"/>
          </w:tcPr>
          <w:p w14:paraId="4FC1FD1F"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61C27627"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F59AE79" w14:textId="2E97BD6C" w:rsidR="00D431EF" w:rsidRPr="003117B3" w:rsidRDefault="00D431EF" w:rsidP="00D278DB">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 xml:space="preserve">(3)  </w:t>
            </w:r>
            <w:r w:rsidRPr="003117B3">
              <w:rPr>
                <w:rFonts w:ascii="Times New Roman" w:hAnsi="Times New Roman" w:cs="Times New Roman"/>
                <w:color w:val="000000" w:themeColor="text1"/>
                <w:lang w:val="ro-MD"/>
              </w:rPr>
              <w:t>Instituțiile pot folosi activele lichide menționate la alineatul (1) pentru a-și îndeplini obligațiile în situații de criză, așa cum se prevede la articolul 414.</w:t>
            </w:r>
          </w:p>
        </w:tc>
        <w:tc>
          <w:tcPr>
            <w:tcW w:w="1249" w:type="pct"/>
          </w:tcPr>
          <w:p w14:paraId="5E875D07"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336" w:type="pct"/>
          </w:tcPr>
          <w:p w14:paraId="0A08C62A" w14:textId="77777777" w:rsidR="00D431EF" w:rsidRPr="003117B3" w:rsidRDefault="00D431EF" w:rsidP="00D431EF">
            <w:pPr>
              <w:spacing w:line="276" w:lineRule="auto"/>
              <w:jc w:val="both"/>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0DA6ECF6" w14:textId="073B29AC" w:rsidR="00D431EF" w:rsidRPr="003117B3" w:rsidRDefault="00D431EF" w:rsidP="006E084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au fost transpuse din art.</w:t>
            </w:r>
            <w:r w:rsidR="006E0848" w:rsidRPr="003117B3">
              <w:rPr>
                <w:rFonts w:ascii="Times New Roman" w:hAnsi="Times New Roman" w:cs="Times New Roman"/>
                <w:color w:val="000000" w:themeColor="text1"/>
                <w:lang w:val="ro-MD"/>
              </w:rPr>
              <w:t xml:space="preserve">4 </w:t>
            </w:r>
            <w:r w:rsidRPr="003117B3">
              <w:rPr>
                <w:rFonts w:ascii="Times New Roman" w:hAnsi="Times New Roman" w:cs="Times New Roman"/>
                <w:color w:val="000000" w:themeColor="text1"/>
                <w:lang w:val="ro-MD"/>
              </w:rPr>
              <w:t>alin.(</w:t>
            </w:r>
            <w:r w:rsidR="006E0848" w:rsidRPr="003117B3">
              <w:rPr>
                <w:rFonts w:ascii="Times New Roman" w:hAnsi="Times New Roman" w:cs="Times New Roman"/>
                <w:color w:val="000000" w:themeColor="text1"/>
                <w:lang w:val="ro-MD"/>
              </w:rPr>
              <w:t>3</w:t>
            </w:r>
            <w:r w:rsidRPr="003117B3">
              <w:rPr>
                <w:rFonts w:ascii="Times New Roman" w:hAnsi="Times New Roman" w:cs="Times New Roman"/>
                <w:color w:val="000000" w:themeColor="text1"/>
                <w:lang w:val="ro-MD"/>
              </w:rPr>
              <w:t>) din Regulamentul delegat 2015/61 (a se vedea tabelul de concordanță a Regulamentului privind cerințele de lichiditate pentru bănci cu Regulamentul delegat 2015/61)</w:t>
            </w:r>
          </w:p>
        </w:tc>
        <w:tc>
          <w:tcPr>
            <w:tcW w:w="674" w:type="pct"/>
          </w:tcPr>
          <w:p w14:paraId="57DD5994"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3CCF9875"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C3BABE1" w14:textId="77777777" w:rsidR="00D431EF" w:rsidRPr="003117B3" w:rsidRDefault="00D431EF" w:rsidP="00D431EF">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 xml:space="preserve">(4)  </w:t>
            </w:r>
            <w:r w:rsidRPr="003117B3">
              <w:rPr>
                <w:rFonts w:ascii="Times New Roman" w:hAnsi="Times New Roman" w:cs="Times New Roman"/>
                <w:color w:val="000000" w:themeColor="text1"/>
                <w:lang w:val="ro-MD"/>
              </w:rPr>
              <w:t>Dispozițiile prevăzute la titlul II se aplică exclusiv în scopul specificării obligațiilor de raportare prevăzute la articolul 415.</w:t>
            </w:r>
          </w:p>
        </w:tc>
        <w:tc>
          <w:tcPr>
            <w:tcW w:w="1249" w:type="pct"/>
          </w:tcPr>
          <w:p w14:paraId="183DBE4B" w14:textId="77777777" w:rsidR="00D431EF" w:rsidRPr="003117B3" w:rsidRDefault="00D431EF" w:rsidP="00D278DB">
            <w:pPr>
              <w:spacing w:after="0" w:line="240" w:lineRule="auto"/>
              <w:rPr>
                <w:rFonts w:ascii="Times New Roman" w:hAnsi="Times New Roman" w:cs="Times New Roman"/>
                <w:b/>
                <w:color w:val="000000" w:themeColor="text1"/>
                <w:lang w:val="ro-RO"/>
              </w:rPr>
            </w:pPr>
          </w:p>
        </w:tc>
        <w:tc>
          <w:tcPr>
            <w:tcW w:w="336" w:type="pct"/>
          </w:tcPr>
          <w:p w14:paraId="13B9F7EC" w14:textId="77777777" w:rsidR="00D431EF" w:rsidRPr="003117B3" w:rsidRDefault="00D431EF" w:rsidP="00D431EF">
            <w:pPr>
              <w:spacing w:line="276" w:lineRule="auto"/>
              <w:jc w:val="both"/>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6068E6CF" w14:textId="03BA646F"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aferente raportării au fost transpuse din art.4 alin.(5) din Regulamentul delegat 2015/61 (a se vedea tabelul de concordanță a Regulamentului privind cerințele de lichiditate pentru bănci cu Regulamentul delegat 2015/61)</w:t>
            </w:r>
          </w:p>
        </w:tc>
        <w:tc>
          <w:tcPr>
            <w:tcW w:w="674" w:type="pct"/>
          </w:tcPr>
          <w:p w14:paraId="336B7761"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5E5343C2"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08A3125" w14:textId="5BD132A4" w:rsidR="00A65448" w:rsidRPr="003117B3" w:rsidRDefault="00A65448" w:rsidP="00A65448">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it-IT"/>
              </w:rPr>
              <w:t>M9</w:t>
            </w:r>
            <w:r w:rsidRPr="003117B3">
              <w:rPr>
                <w:rFonts w:ascii="Times New Roman" w:hAnsi="Times New Roman" w:cs="Times New Roman"/>
                <w:color w:val="000000" w:themeColor="text1"/>
                <w:lang w:val="it-IT"/>
              </w:rPr>
              <w:t xml:space="preserve"> (4a) Actul delegat menţionat la articolul 460 alineatul (1) se aplică instituţiilor.</w:t>
            </w:r>
          </w:p>
        </w:tc>
        <w:tc>
          <w:tcPr>
            <w:tcW w:w="1249" w:type="pct"/>
          </w:tcPr>
          <w:p w14:paraId="608C4A68" w14:textId="77777777" w:rsidR="00A65448" w:rsidRPr="003117B3" w:rsidRDefault="00A65448" w:rsidP="00D431EF">
            <w:pPr>
              <w:spacing w:after="0" w:line="276" w:lineRule="auto"/>
              <w:jc w:val="both"/>
              <w:rPr>
                <w:rFonts w:ascii="Times New Roman" w:hAnsi="Times New Roman" w:cs="Times New Roman"/>
                <w:b/>
                <w:color w:val="000000" w:themeColor="text1"/>
                <w:lang w:val="ro-MD"/>
              </w:rPr>
            </w:pPr>
          </w:p>
        </w:tc>
        <w:tc>
          <w:tcPr>
            <w:tcW w:w="336" w:type="pct"/>
          </w:tcPr>
          <w:p w14:paraId="010F5C30" w14:textId="0BBDEAF9" w:rsidR="00A65448" w:rsidRPr="003117B3" w:rsidRDefault="008353B2"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45506033" w14:textId="5452477C" w:rsidR="00A65448" w:rsidRPr="003117B3" w:rsidRDefault="006A678E"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BNM stabilește reglementări p</w:t>
            </w:r>
            <w:r w:rsidR="00A620E1" w:rsidRPr="003117B3">
              <w:rPr>
                <w:rFonts w:ascii="Times New Roman" w:hAnsi="Times New Roman" w:cs="Times New Roman"/>
                <w:color w:val="000000" w:themeColor="text1"/>
                <w:lang w:val="ro-MD"/>
              </w:rPr>
              <w:t>entru</w:t>
            </w:r>
            <w:r w:rsidRPr="003117B3">
              <w:rPr>
                <w:rFonts w:ascii="Times New Roman" w:hAnsi="Times New Roman" w:cs="Times New Roman"/>
                <w:color w:val="000000" w:themeColor="text1"/>
                <w:lang w:val="ro-MD"/>
              </w:rPr>
              <w:t xml:space="preserve"> bănci. Astfel</w:t>
            </w:r>
            <w:r w:rsidR="0002443A" w:rsidRPr="003117B3">
              <w:rPr>
                <w:rFonts w:ascii="Times New Roman" w:hAnsi="Times New Roman" w:cs="Times New Roman"/>
                <w:color w:val="000000" w:themeColor="text1"/>
                <w:lang w:val="ro-MD"/>
              </w:rPr>
              <w:t>,</w:t>
            </w:r>
            <w:r w:rsidRPr="003117B3">
              <w:rPr>
                <w:rFonts w:ascii="Times New Roman" w:hAnsi="Times New Roman" w:cs="Times New Roman"/>
                <w:color w:val="000000" w:themeColor="text1"/>
                <w:lang w:val="ro-MD"/>
              </w:rPr>
              <w:t xml:space="preserve"> Reg 44/2020 se aplică băncilor. P</w:t>
            </w:r>
            <w:r w:rsidR="00A620E1" w:rsidRPr="003117B3">
              <w:rPr>
                <w:rFonts w:ascii="Times New Roman" w:hAnsi="Times New Roman" w:cs="Times New Roman"/>
                <w:color w:val="000000" w:themeColor="text1"/>
                <w:lang w:val="ro-MD"/>
              </w:rPr>
              <w:t>entru</w:t>
            </w:r>
            <w:r w:rsidRPr="003117B3">
              <w:rPr>
                <w:rFonts w:ascii="Times New Roman" w:hAnsi="Times New Roman" w:cs="Times New Roman"/>
                <w:color w:val="000000" w:themeColor="text1"/>
                <w:lang w:val="ro-MD"/>
              </w:rPr>
              <w:t xml:space="preserve"> firmele de investiții </w:t>
            </w:r>
            <w:r w:rsidRPr="003117B3">
              <w:rPr>
                <w:rFonts w:ascii="Times New Roman" w:hAnsi="Times New Roman" w:cs="Times New Roman"/>
                <w:color w:val="000000" w:themeColor="text1"/>
                <w:lang w:val="ro-MD"/>
              </w:rPr>
              <w:lastRenderedPageBreak/>
              <w:t>CNPF urmează să transpună prevederile Reg.2015/61.</w:t>
            </w:r>
          </w:p>
        </w:tc>
        <w:tc>
          <w:tcPr>
            <w:tcW w:w="674" w:type="pct"/>
          </w:tcPr>
          <w:p w14:paraId="3787584D" w14:textId="77777777" w:rsidR="00A65448" w:rsidRPr="003117B3" w:rsidRDefault="00A65448" w:rsidP="00D431EF">
            <w:pPr>
              <w:spacing w:line="276" w:lineRule="auto"/>
              <w:jc w:val="both"/>
              <w:rPr>
                <w:rFonts w:ascii="Times New Roman" w:hAnsi="Times New Roman" w:cs="Times New Roman"/>
                <w:color w:val="000000" w:themeColor="text1"/>
                <w:lang w:val="ro-MD"/>
              </w:rPr>
            </w:pPr>
          </w:p>
        </w:tc>
      </w:tr>
      <w:tr w:rsidR="003117B3" w:rsidRPr="003117B3" w14:paraId="0C4D48E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318A0A4" w14:textId="77777777" w:rsidR="00D431EF" w:rsidRPr="003117B3" w:rsidRDefault="00D431EF" w:rsidP="00D431EF">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 xml:space="preserve">(5)  </w:t>
            </w:r>
            <w:r w:rsidRPr="003117B3">
              <w:rPr>
                <w:rFonts w:ascii="Times New Roman" w:hAnsi="Times New Roman" w:cs="Times New Roman"/>
                <w:color w:val="000000" w:themeColor="text1"/>
                <w:lang w:val="ro-MD"/>
              </w:rPr>
              <w:t>Statele membre pot menține sau introduce dispoziții naționale în domeniul cerințelor de lichiditate înaintea specificării și introducerii depline în Uniune a unor standarde minime obligatorii privind cerințele de acoperire a necesarului de lichiditate, în conformitate cu articolul 460. Statele membre sau autoritățile competente pot impune instituțiilor autorizate la nivel național sau unui subset de astfel de instituții să mențină o cerință de acoperire a necesarului de lichiditate de până la 100 %, până la introducerea deplină, în procent de 100 %, a standardului minim obligatoriu, în conformitate cu articolul 460.</w:t>
            </w:r>
          </w:p>
        </w:tc>
        <w:tc>
          <w:tcPr>
            <w:tcW w:w="1249" w:type="pct"/>
          </w:tcPr>
          <w:p w14:paraId="62D768C7"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336" w:type="pct"/>
          </w:tcPr>
          <w:p w14:paraId="7CDB72C8"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09CF675C"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aferente introducerii etapizate a cerințelor de lichiditate au fost transpuse din art.38 alin.(1) din Regulamentul delegat 2015/61 (a se vedea tabelul de concordanță a proiectului Regulamentului privind cerințele de lichiditate pentru bănci cu Regulamentul delegat 2015/61)</w:t>
            </w:r>
          </w:p>
        </w:tc>
        <w:tc>
          <w:tcPr>
            <w:tcW w:w="674" w:type="pct"/>
          </w:tcPr>
          <w:p w14:paraId="74BCDBE8" w14:textId="77777777" w:rsidR="00D431EF" w:rsidRPr="003117B3" w:rsidRDefault="00D431EF" w:rsidP="00D431EF">
            <w:pPr>
              <w:spacing w:line="276" w:lineRule="auto"/>
              <w:jc w:val="both"/>
              <w:rPr>
                <w:rFonts w:ascii="Times New Roman" w:hAnsi="Times New Roman" w:cs="Times New Roman"/>
                <w:color w:val="000000" w:themeColor="text1"/>
                <w:lang w:val="ro-MD"/>
              </w:rPr>
            </w:pPr>
          </w:p>
        </w:tc>
      </w:tr>
      <w:tr w:rsidR="003117B3" w:rsidRPr="003117B3" w14:paraId="6791909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B029F07"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Articolul 413</w:t>
            </w:r>
          </w:p>
          <w:p w14:paraId="69119C88" w14:textId="20ABAB9A" w:rsidR="000F29B7" w:rsidRPr="003117B3" w:rsidRDefault="000F29B7" w:rsidP="00D431EF">
            <w:pPr>
              <w:spacing w:after="0" w:line="276" w:lineRule="auto"/>
              <w:jc w:val="both"/>
              <w:rPr>
                <w:rFonts w:ascii="Times New Roman" w:hAnsi="Times New Roman" w:cs="Times New Roman"/>
                <w:b/>
                <w:color w:val="000000" w:themeColor="text1"/>
                <w:lang w:val="ro-MD"/>
              </w:rPr>
            </w:pPr>
          </w:p>
          <w:p w14:paraId="3E9BB718" w14:textId="57761BB4" w:rsidR="007324B5" w:rsidRPr="003117B3" w:rsidRDefault="007324B5"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Cerinţa de finanţare stabilă</w:t>
            </w:r>
          </w:p>
        </w:tc>
        <w:tc>
          <w:tcPr>
            <w:tcW w:w="1249" w:type="pct"/>
          </w:tcPr>
          <w:p w14:paraId="48CEA8E2" w14:textId="3BAEDCD1" w:rsidR="003709BA" w:rsidRPr="003117B3" w:rsidRDefault="003709BA" w:rsidP="003709BA">
            <w:pPr>
              <w:tabs>
                <w:tab w:val="left" w:pos="1134"/>
              </w:tabs>
              <w:jc w:val="center"/>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t xml:space="preserve">Secțiunea </w:t>
            </w:r>
            <w:r w:rsidR="008A0F80" w:rsidRPr="003117B3">
              <w:rPr>
                <w:rFonts w:ascii="Times New Roman" w:eastAsia="Arial Unicode MS" w:hAnsi="Times New Roman" w:cs="Times New Roman"/>
                <w:b/>
                <w:bCs/>
                <w:color w:val="000000" w:themeColor="text1"/>
                <w:lang w:val="ro-RO"/>
              </w:rPr>
              <w:t>4</w:t>
            </w:r>
          </w:p>
          <w:p w14:paraId="76CBEE9B" w14:textId="3B31B560" w:rsidR="00D431EF" w:rsidRPr="003117B3" w:rsidRDefault="003709BA" w:rsidP="003709BA">
            <w:pPr>
              <w:spacing w:after="0" w:line="276" w:lineRule="auto"/>
              <w:jc w:val="both"/>
              <w:rPr>
                <w:rFonts w:ascii="Times New Roman" w:hAnsi="Times New Roman" w:cs="Times New Roman"/>
                <w:b/>
                <w:color w:val="000000" w:themeColor="text1"/>
                <w:lang w:val="ro-MD"/>
              </w:rPr>
            </w:pPr>
            <w:r w:rsidRPr="003117B3">
              <w:rPr>
                <w:rFonts w:ascii="Times New Roman" w:eastAsia="Arial Unicode MS" w:hAnsi="Times New Roman" w:cs="Times New Roman"/>
                <w:b/>
                <w:bCs/>
                <w:color w:val="000000" w:themeColor="text1"/>
                <w:lang w:val="it-IT"/>
              </w:rPr>
              <w:t xml:space="preserve">Cerinţa de finanţare stabilă </w:t>
            </w:r>
            <w:r w:rsidRPr="003117B3">
              <w:rPr>
                <w:rFonts w:ascii="Times New Roman" w:eastAsia="Arial Unicode MS" w:hAnsi="Times New Roman" w:cs="Times New Roman"/>
                <w:b/>
                <w:bCs/>
                <w:color w:val="000000" w:themeColor="text1"/>
                <w:lang w:val="ro-RO"/>
              </w:rPr>
              <w:t xml:space="preserve"> </w:t>
            </w:r>
          </w:p>
        </w:tc>
        <w:tc>
          <w:tcPr>
            <w:tcW w:w="336" w:type="pct"/>
          </w:tcPr>
          <w:p w14:paraId="088D96D0"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1153" w:type="pct"/>
          </w:tcPr>
          <w:p w14:paraId="3ADF6F9F"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674" w:type="pct"/>
          </w:tcPr>
          <w:p w14:paraId="28C9FA3C"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r>
      <w:tr w:rsidR="003117B3" w:rsidRPr="003117B3" w14:paraId="47C2F34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4C0EF14" w14:textId="0E4AA56A" w:rsidR="002551D3" w:rsidRPr="003117B3" w:rsidRDefault="002551D3" w:rsidP="00D278DB">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M8</w:t>
            </w:r>
            <w:r w:rsidRPr="003117B3">
              <w:rPr>
                <w:rFonts w:ascii="Times New Roman" w:hAnsi="Times New Roman" w:cs="Times New Roman"/>
                <w:color w:val="000000" w:themeColor="text1"/>
                <w:lang w:val="ro-MD"/>
              </w:rPr>
              <w:t xml:space="preserve">(1) Instituţiile asigură respectarea adecvată a activelor și a elementelor extrabilanţiere pe termen lung prin intermediul unui set de diverse </w:t>
            </w:r>
            <w:r w:rsidRPr="003117B3">
              <w:rPr>
                <w:rFonts w:ascii="Times New Roman" w:hAnsi="Times New Roman" w:cs="Times New Roman"/>
                <w:color w:val="000000" w:themeColor="text1"/>
                <w:lang w:val="ro-MD"/>
              </w:rPr>
              <w:lastRenderedPageBreak/>
              <w:t>instrumente de finanţare care sunt stabile atât în condiţii normale, cât și în condiţii de criză.</w:t>
            </w:r>
          </w:p>
        </w:tc>
        <w:tc>
          <w:tcPr>
            <w:tcW w:w="1249" w:type="pct"/>
          </w:tcPr>
          <w:p w14:paraId="58A0B4F2" w14:textId="414A08C5" w:rsidR="002551D3" w:rsidRPr="003117B3" w:rsidRDefault="0002443A" w:rsidP="002551D3">
            <w:pPr>
              <w:tabs>
                <w:tab w:val="left" w:pos="1134"/>
              </w:tabs>
              <w:jc w:val="both"/>
              <w:rPr>
                <w:rFonts w:ascii="Times New Roman" w:hAnsi="Times New Roman" w:cs="Times New Roman"/>
                <w:iCs/>
                <w:color w:val="000000" w:themeColor="text1"/>
                <w:lang w:val="ro-RO"/>
              </w:rPr>
            </w:pPr>
            <w:r w:rsidRPr="003117B3">
              <w:rPr>
                <w:rFonts w:ascii="Times New Roman" w:eastAsia="Times New Roman" w:hAnsi="Times New Roman" w:cs="Times New Roman"/>
                <w:b/>
                <w:iCs/>
                <w:color w:val="000000" w:themeColor="text1"/>
                <w:lang w:val="ro-RO"/>
              </w:rPr>
              <w:lastRenderedPageBreak/>
              <w:t>6</w:t>
            </w:r>
            <w:r w:rsidRPr="003117B3">
              <w:rPr>
                <w:rFonts w:ascii="Times New Roman" w:eastAsia="Times New Roman" w:hAnsi="Times New Roman" w:cs="Times New Roman"/>
                <w:b/>
                <w:iCs/>
                <w:color w:val="000000" w:themeColor="text1"/>
                <w:vertAlign w:val="superscript"/>
                <w:lang w:val="ro-RO"/>
              </w:rPr>
              <w:t>2</w:t>
            </w:r>
            <w:r w:rsidRPr="003117B3">
              <w:rPr>
                <w:rFonts w:ascii="Times New Roman" w:eastAsia="Times New Roman" w:hAnsi="Times New Roman" w:cs="Times New Roman"/>
                <w:b/>
                <w:iCs/>
                <w:color w:val="000000" w:themeColor="text1"/>
                <w:lang w:val="ro-RO"/>
              </w:rPr>
              <w:t>.</w:t>
            </w:r>
            <w:r w:rsidRPr="003117B3">
              <w:rPr>
                <w:rFonts w:ascii="Times New Roman" w:eastAsia="Times New Roman" w:hAnsi="Times New Roman" w:cs="Times New Roman"/>
                <w:iCs/>
                <w:color w:val="000000" w:themeColor="text1"/>
                <w:lang w:val="ro-RO"/>
              </w:rPr>
              <w:t xml:space="preserve"> </w:t>
            </w:r>
            <w:r w:rsidR="0008076F" w:rsidRPr="003117B3">
              <w:rPr>
                <w:rFonts w:ascii="Times New Roman" w:eastAsia="Times New Roman" w:hAnsi="Times New Roman" w:cs="Times New Roman"/>
                <w:iCs/>
                <w:color w:val="000000" w:themeColor="text1"/>
                <w:lang w:val="ro-RO"/>
              </w:rPr>
              <w:t xml:space="preserve">Băncile asigură că activele și elementele extrabilanţiere pe termen lung sunt acoperite în mod adecvat prin intermediul unui set de instrumente de finanțare care sunt stabile atât în </w:t>
            </w:r>
            <w:r w:rsidR="0008076F" w:rsidRPr="003117B3">
              <w:rPr>
                <w:rFonts w:ascii="Times New Roman" w:eastAsia="Times New Roman" w:hAnsi="Times New Roman" w:cs="Times New Roman"/>
                <w:iCs/>
                <w:color w:val="000000" w:themeColor="text1"/>
                <w:lang w:val="ro-RO"/>
              </w:rPr>
              <w:lastRenderedPageBreak/>
              <w:t>condiții normale, cât și în condiții de criză.</w:t>
            </w:r>
          </w:p>
        </w:tc>
        <w:tc>
          <w:tcPr>
            <w:tcW w:w="336" w:type="pct"/>
          </w:tcPr>
          <w:p w14:paraId="284A8A39" w14:textId="40862535" w:rsidR="002551D3" w:rsidRPr="003117B3" w:rsidDel="00F24178" w:rsidRDefault="002551D3" w:rsidP="002551D3">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4EA56C2C" w14:textId="5BFE64BB" w:rsidR="002551D3" w:rsidRPr="003117B3" w:rsidRDefault="00A8147B" w:rsidP="00AE223D">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art.413 alin.(1) astfel cum au fost modificate prin Regulamentul 2019/876 transpuse în pct.6</w:t>
            </w:r>
            <w:r w:rsidRPr="003117B3">
              <w:rPr>
                <w:rFonts w:ascii="Times New Roman" w:hAnsi="Times New Roman" w:cs="Times New Roman"/>
                <w:color w:val="000000" w:themeColor="text1"/>
                <w:vertAlign w:val="superscript"/>
                <w:lang w:val="ro-MD"/>
              </w:rPr>
              <w:t>2</w:t>
            </w:r>
            <w:r w:rsidR="0008076F" w:rsidRPr="003117B3">
              <w:rPr>
                <w:rFonts w:ascii="Times New Roman" w:hAnsi="Times New Roman" w:cs="Times New Roman"/>
                <w:color w:val="000000" w:themeColor="text1"/>
                <w:lang w:val="ro-MD"/>
              </w:rPr>
              <w:t xml:space="preserve"> din Regulamentul </w:t>
            </w:r>
            <w:r w:rsidR="0008076F" w:rsidRPr="003117B3">
              <w:rPr>
                <w:rFonts w:ascii="Times New Roman" w:hAnsi="Times New Roman" w:cs="Times New Roman"/>
                <w:color w:val="000000" w:themeColor="text1"/>
                <w:lang w:val="ro-MD"/>
              </w:rPr>
              <w:lastRenderedPageBreak/>
              <w:t>nr.44/2020, ținînd cont de versiunea engleză a art.413 alin.(1).</w:t>
            </w:r>
          </w:p>
        </w:tc>
        <w:tc>
          <w:tcPr>
            <w:tcW w:w="674" w:type="pct"/>
          </w:tcPr>
          <w:p w14:paraId="3B33A80E" w14:textId="77777777" w:rsidR="002551D3" w:rsidRPr="003117B3" w:rsidRDefault="002551D3" w:rsidP="00D431EF">
            <w:pPr>
              <w:spacing w:line="276" w:lineRule="auto"/>
              <w:jc w:val="both"/>
              <w:rPr>
                <w:rFonts w:ascii="Times New Roman" w:hAnsi="Times New Roman" w:cs="Times New Roman"/>
                <w:b/>
                <w:color w:val="000000" w:themeColor="text1"/>
                <w:lang w:val="ro-MD"/>
              </w:rPr>
            </w:pPr>
          </w:p>
        </w:tc>
      </w:tr>
      <w:tr w:rsidR="003117B3" w:rsidRPr="003117B3" w14:paraId="0879923F"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C855B78" w14:textId="60B88A6E" w:rsidR="002551D3" w:rsidRPr="003117B3" w:rsidDel="002551D3" w:rsidRDefault="002551D3" w:rsidP="00D278DB">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M8</w:t>
            </w:r>
            <w:r w:rsidRPr="003117B3">
              <w:rPr>
                <w:rFonts w:ascii="Times New Roman" w:hAnsi="Times New Roman" w:cs="Times New Roman"/>
                <w:color w:val="000000" w:themeColor="text1"/>
                <w:lang w:val="ro-MD"/>
              </w:rPr>
              <w:t xml:space="preserve"> (2) Dispoziţiile prevăzute în titlul III se aplică exclusiv în scopul detalierii obligaţiilor de raportare prevăzute la articolul 415, până în momentul în care sunt specificate și introduse în Uniune obligaţiile de raportare stabilite la articolul menţionat pentru indicatorul de finanţare stabilă netă prevăzut în titlul IV.</w:t>
            </w:r>
          </w:p>
        </w:tc>
        <w:tc>
          <w:tcPr>
            <w:tcW w:w="1249" w:type="pct"/>
          </w:tcPr>
          <w:p w14:paraId="1312DA78" w14:textId="77777777" w:rsidR="002551D3" w:rsidRPr="003117B3" w:rsidRDefault="002551D3" w:rsidP="002551D3">
            <w:pPr>
              <w:tabs>
                <w:tab w:val="left" w:pos="1134"/>
              </w:tabs>
              <w:jc w:val="both"/>
              <w:rPr>
                <w:rFonts w:ascii="Times New Roman" w:hAnsi="Times New Roman" w:cs="Times New Roman"/>
                <w:color w:val="000000" w:themeColor="text1"/>
                <w:lang w:val="ro-RO"/>
              </w:rPr>
            </w:pPr>
          </w:p>
        </w:tc>
        <w:tc>
          <w:tcPr>
            <w:tcW w:w="336" w:type="pct"/>
          </w:tcPr>
          <w:p w14:paraId="5553F932" w14:textId="53A75FBD" w:rsidR="002551D3" w:rsidRPr="003117B3" w:rsidRDefault="002551D3"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118BD792" w14:textId="22A37D46" w:rsidR="002551D3" w:rsidRPr="003117B3" w:rsidRDefault="002551D3" w:rsidP="00D278DB">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Prevederile alin.(2) se referă la </w:t>
            </w:r>
            <w:r w:rsidR="002000E5" w:rsidRPr="003117B3">
              <w:rPr>
                <w:rFonts w:ascii="Times New Roman" w:hAnsi="Times New Roman" w:cs="Times New Roman"/>
                <w:color w:val="000000" w:themeColor="text1"/>
                <w:lang w:val="ro-MD"/>
              </w:rPr>
              <w:t>raportarea finanțării stabile până la stabilirea cerinței de finanțare stabilă</w:t>
            </w:r>
            <w:r w:rsidRPr="003117B3">
              <w:rPr>
                <w:rFonts w:ascii="Times New Roman" w:hAnsi="Times New Roman" w:cs="Times New Roman"/>
                <w:color w:val="000000" w:themeColor="text1"/>
                <w:lang w:val="ro-MD"/>
              </w:rPr>
              <w:t xml:space="preserve">. După intrarea în vigoare a </w:t>
            </w:r>
            <w:r w:rsidR="002000E5" w:rsidRPr="003117B3">
              <w:rPr>
                <w:rFonts w:ascii="Times New Roman" w:hAnsi="Times New Roman" w:cs="Times New Roman"/>
                <w:color w:val="000000" w:themeColor="text1"/>
                <w:lang w:val="ro-MD"/>
              </w:rPr>
              <w:t xml:space="preserve">Regulamentului UE nr. 2019/876 au fost introduse în Regulamentul (UE) nr. 575/2013 cerințe de raportare privind indicatorul de finanțare stabilă netă (NSFR) pentru care </w:t>
            </w:r>
            <w:r w:rsidRPr="003117B3">
              <w:rPr>
                <w:rFonts w:ascii="Times New Roman" w:hAnsi="Times New Roman" w:cs="Times New Roman"/>
                <w:color w:val="000000" w:themeColor="text1"/>
                <w:lang w:val="ro-MD"/>
              </w:rPr>
              <w:t>se aplică prevederile alin.(3).</w:t>
            </w:r>
          </w:p>
        </w:tc>
        <w:tc>
          <w:tcPr>
            <w:tcW w:w="674" w:type="pct"/>
          </w:tcPr>
          <w:p w14:paraId="3CD9BECD" w14:textId="77777777" w:rsidR="002551D3" w:rsidRPr="003117B3" w:rsidRDefault="002551D3" w:rsidP="00D431EF">
            <w:pPr>
              <w:spacing w:line="276" w:lineRule="auto"/>
              <w:jc w:val="both"/>
              <w:rPr>
                <w:rFonts w:ascii="Times New Roman" w:hAnsi="Times New Roman" w:cs="Times New Roman"/>
                <w:b/>
                <w:color w:val="000000" w:themeColor="text1"/>
                <w:lang w:val="ro-MD"/>
              </w:rPr>
            </w:pPr>
          </w:p>
        </w:tc>
      </w:tr>
      <w:tr w:rsidR="003117B3" w:rsidRPr="003117B3" w14:paraId="1403BBC7"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2286A27" w14:textId="4D046BBF" w:rsidR="00D431EF" w:rsidRPr="003117B3" w:rsidRDefault="002551D3" w:rsidP="00D431EF">
            <w:pPr>
              <w:spacing w:line="276" w:lineRule="auto"/>
              <w:rPr>
                <w:rFonts w:ascii="Times New Roman" w:hAnsi="Times New Roman" w:cs="Times New Roman"/>
                <w:color w:val="000000" w:themeColor="text1"/>
                <w:lang w:val="ro-MD"/>
              </w:rPr>
            </w:pPr>
            <w:r w:rsidRPr="003117B3" w:rsidDel="002551D3">
              <w:rPr>
                <w:rFonts w:ascii="Times New Roman" w:hAnsi="Times New Roman" w:cs="Times New Roman"/>
                <w:color w:val="000000" w:themeColor="text1"/>
                <w:lang w:val="ro-MD"/>
              </w:rPr>
              <w:t xml:space="preserve"> </w:t>
            </w:r>
          </w:p>
          <w:p w14:paraId="4A48C889" w14:textId="0CA727DA" w:rsidR="00D431EF" w:rsidRPr="003117B3" w:rsidRDefault="00D431EF" w:rsidP="00D278DB">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M8</w:t>
            </w:r>
            <w:r w:rsidRPr="003117B3">
              <w:rPr>
                <w:rFonts w:ascii="Times New Roman" w:hAnsi="Times New Roman" w:cs="Times New Roman"/>
                <w:color w:val="000000" w:themeColor="text1"/>
                <w:lang w:val="ro-MD"/>
              </w:rPr>
              <w:t xml:space="preserve"> (3) Dispoziţiile prevăzute în titlul IV se aplică în scopul precizării cerinţei de finanţare stabilă prevăzute la alineatul (1) de la prezentul articol și a obligaţiilor de raportare pentru instituţii prevăzute la articolul 415.</w:t>
            </w:r>
          </w:p>
        </w:tc>
        <w:tc>
          <w:tcPr>
            <w:tcW w:w="1249" w:type="pct"/>
          </w:tcPr>
          <w:p w14:paraId="65420B54" w14:textId="75099BB3" w:rsidR="00D431EF" w:rsidRPr="003117B3" w:rsidRDefault="0002443A" w:rsidP="00D278DB">
            <w:pPr>
              <w:tabs>
                <w:tab w:val="left" w:pos="1134"/>
              </w:tabs>
              <w:spacing w:after="0" w:line="240" w:lineRule="auto"/>
              <w:jc w:val="both"/>
              <w:rPr>
                <w:rFonts w:ascii="Times New Roman" w:hAnsi="Times New Roman" w:cs="Times New Roman"/>
                <w:color w:val="000000" w:themeColor="text1"/>
                <w:lang w:val="ro-RO"/>
              </w:rPr>
            </w:pPr>
            <w:r w:rsidRPr="003117B3">
              <w:rPr>
                <w:rFonts w:ascii="Times New Roman" w:eastAsia="Times New Roman" w:hAnsi="Times New Roman" w:cs="Times New Roman"/>
                <w:b/>
                <w:iCs/>
                <w:color w:val="000000" w:themeColor="text1"/>
                <w:lang w:val="ro-RO"/>
              </w:rPr>
              <w:t>6</w:t>
            </w:r>
            <w:r w:rsidRPr="003117B3">
              <w:rPr>
                <w:rFonts w:ascii="Times New Roman" w:eastAsia="Times New Roman" w:hAnsi="Times New Roman" w:cs="Times New Roman"/>
                <w:b/>
                <w:iCs/>
                <w:color w:val="000000" w:themeColor="text1"/>
                <w:vertAlign w:val="superscript"/>
                <w:lang w:val="ro-RO"/>
              </w:rPr>
              <w:t>3</w:t>
            </w:r>
            <w:r w:rsidRPr="003117B3">
              <w:rPr>
                <w:rFonts w:ascii="Times New Roman" w:eastAsia="Times New Roman" w:hAnsi="Times New Roman" w:cs="Times New Roman"/>
                <w:b/>
                <w:iCs/>
                <w:color w:val="000000" w:themeColor="text1"/>
                <w:lang w:val="ro-RO"/>
              </w:rPr>
              <w:t xml:space="preserve"> </w:t>
            </w:r>
            <w:r w:rsidRPr="003117B3">
              <w:rPr>
                <w:rFonts w:ascii="Times New Roman" w:eastAsia="Times New Roman" w:hAnsi="Times New Roman" w:cs="Times New Roman"/>
                <w:iCs/>
                <w:color w:val="000000" w:themeColor="text1"/>
                <w:lang w:val="ro-RO"/>
              </w:rPr>
              <w:t>Dispoziţiile prevăzute în titlul III se aplică în scopul precizării cerinţei de finanţare stabilă prevăzute la pct.6</w:t>
            </w:r>
            <w:r w:rsidRPr="003117B3">
              <w:rPr>
                <w:rFonts w:ascii="Times New Roman" w:eastAsia="Times New Roman" w:hAnsi="Times New Roman" w:cs="Times New Roman"/>
                <w:iCs/>
                <w:color w:val="000000" w:themeColor="text1"/>
                <w:vertAlign w:val="superscript"/>
                <w:lang w:val="ro-RO"/>
              </w:rPr>
              <w:t>2</w:t>
            </w:r>
            <w:r w:rsidRPr="003117B3">
              <w:rPr>
                <w:rFonts w:ascii="Times New Roman" w:eastAsia="Times New Roman" w:hAnsi="Times New Roman" w:cs="Times New Roman"/>
                <w:iCs/>
                <w:color w:val="000000" w:themeColor="text1"/>
                <w:lang w:val="ro-RO"/>
              </w:rPr>
              <w:t xml:space="preserve"> și a obligaţiilor de raportare pentru bănci prevăzute la </w:t>
            </w:r>
            <w:r w:rsidR="008A0F80" w:rsidRPr="003117B3">
              <w:rPr>
                <w:rFonts w:ascii="Times New Roman" w:eastAsia="Times New Roman" w:hAnsi="Times New Roman" w:cs="Times New Roman"/>
                <w:iCs/>
                <w:color w:val="000000" w:themeColor="text1"/>
                <w:lang w:val="ro-RO"/>
              </w:rPr>
              <w:t>secțiunea 6</w:t>
            </w:r>
            <w:r w:rsidRPr="003117B3">
              <w:rPr>
                <w:rFonts w:ascii="Times New Roman" w:eastAsia="Times New Roman" w:hAnsi="Times New Roman" w:cs="Times New Roman"/>
                <w:iCs/>
                <w:color w:val="000000" w:themeColor="text1"/>
                <w:lang w:val="ro-RO"/>
              </w:rPr>
              <w:t xml:space="preserve"> din prezentul titlu.</w:t>
            </w:r>
          </w:p>
        </w:tc>
        <w:tc>
          <w:tcPr>
            <w:tcW w:w="336" w:type="pct"/>
          </w:tcPr>
          <w:p w14:paraId="31B9945F" w14:textId="781E7A42" w:rsidR="00D431EF" w:rsidRPr="003117B3" w:rsidRDefault="0002443A"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7068D763" w14:textId="3103C136" w:rsidR="00D431EF" w:rsidRPr="003117B3" w:rsidRDefault="00D431EF" w:rsidP="00D431EF">
            <w:pPr>
              <w:spacing w:line="276" w:lineRule="auto"/>
              <w:rPr>
                <w:rFonts w:ascii="Times New Roman" w:hAnsi="Times New Roman" w:cs="Times New Roman"/>
                <w:color w:val="000000" w:themeColor="text1"/>
                <w:lang w:val="ro-MD"/>
              </w:rPr>
            </w:pPr>
          </w:p>
          <w:p w14:paraId="170F448C" w14:textId="7F6208CF" w:rsidR="00A8147B" w:rsidRPr="003117B3" w:rsidRDefault="00A8147B" w:rsidP="00A8147B">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art.413 alin.(3) astfel cum au fost modificate prin Regulamentul 2019/876 transpuse în pct.6</w:t>
            </w:r>
            <w:r w:rsidRPr="003117B3">
              <w:rPr>
                <w:rFonts w:ascii="Times New Roman" w:hAnsi="Times New Roman" w:cs="Times New Roman"/>
                <w:color w:val="000000" w:themeColor="text1"/>
                <w:vertAlign w:val="superscript"/>
                <w:lang w:val="ro-MD"/>
              </w:rPr>
              <w:t>3</w:t>
            </w:r>
            <w:r w:rsidR="00AE223D" w:rsidRPr="003117B3">
              <w:rPr>
                <w:rFonts w:ascii="Times New Roman" w:hAnsi="Times New Roman" w:cs="Times New Roman"/>
                <w:color w:val="000000" w:themeColor="text1"/>
                <w:lang w:val="ro-MD"/>
              </w:rPr>
              <w:t xml:space="preserve"> din Reg</w:t>
            </w:r>
            <w:r w:rsidRPr="003117B3">
              <w:rPr>
                <w:rFonts w:ascii="Times New Roman" w:hAnsi="Times New Roman" w:cs="Times New Roman"/>
                <w:color w:val="000000" w:themeColor="text1"/>
                <w:lang w:val="ro-MD"/>
              </w:rPr>
              <w:t>ulamentul nr.44/2020.</w:t>
            </w:r>
          </w:p>
        </w:tc>
        <w:tc>
          <w:tcPr>
            <w:tcW w:w="674" w:type="pct"/>
          </w:tcPr>
          <w:p w14:paraId="3FC56D6D"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r>
      <w:tr w:rsidR="003117B3" w:rsidRPr="003117B3" w14:paraId="2C68A39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F904D6D" w14:textId="7B6A6417" w:rsidR="00823639" w:rsidRPr="003117B3" w:rsidDel="002551D3" w:rsidRDefault="00823639"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M8</w:t>
            </w:r>
            <w:r w:rsidRPr="003117B3">
              <w:rPr>
                <w:rFonts w:ascii="Times New Roman" w:hAnsi="Times New Roman" w:cs="Times New Roman"/>
                <w:color w:val="000000" w:themeColor="text1"/>
                <w:lang w:val="ro-MD"/>
              </w:rPr>
              <w:t xml:space="preserve"> (4) Statele membre pot menţine sau introduce dispoziţii naţionale în domeniul cerinţelor de finanţare stabilă înainte ca standardele minime </w:t>
            </w:r>
            <w:r w:rsidRPr="003117B3">
              <w:rPr>
                <w:rFonts w:ascii="Times New Roman" w:hAnsi="Times New Roman" w:cs="Times New Roman"/>
                <w:color w:val="000000" w:themeColor="text1"/>
                <w:lang w:val="ro-MD"/>
              </w:rPr>
              <w:lastRenderedPageBreak/>
              <w:t>obligatorii privind cerinţele de finanţare stabilă netă prevăzute la alineatul (1) să devină aplicabile.</w:t>
            </w:r>
          </w:p>
        </w:tc>
        <w:tc>
          <w:tcPr>
            <w:tcW w:w="1249" w:type="pct"/>
          </w:tcPr>
          <w:p w14:paraId="5DF74B6D" w14:textId="77777777" w:rsidR="00823639" w:rsidRPr="003117B3" w:rsidRDefault="00823639" w:rsidP="002551D3">
            <w:pPr>
              <w:tabs>
                <w:tab w:val="left" w:pos="1134"/>
              </w:tabs>
              <w:jc w:val="both"/>
              <w:rPr>
                <w:rFonts w:ascii="Times New Roman" w:hAnsi="Times New Roman" w:cs="Times New Roman"/>
                <w:color w:val="000000" w:themeColor="text1"/>
                <w:lang w:val="ro-RO"/>
              </w:rPr>
            </w:pPr>
          </w:p>
        </w:tc>
        <w:tc>
          <w:tcPr>
            <w:tcW w:w="336" w:type="pct"/>
          </w:tcPr>
          <w:p w14:paraId="7315861C" w14:textId="77777777" w:rsidR="00823639" w:rsidRPr="003117B3" w:rsidRDefault="00823639" w:rsidP="00D431EF">
            <w:pPr>
              <w:spacing w:line="276" w:lineRule="auto"/>
              <w:jc w:val="both"/>
              <w:rPr>
                <w:rFonts w:ascii="Times New Roman" w:hAnsi="Times New Roman" w:cs="Times New Roman"/>
                <w:b/>
                <w:color w:val="000000" w:themeColor="text1"/>
                <w:lang w:val="ro-MD"/>
              </w:rPr>
            </w:pPr>
          </w:p>
        </w:tc>
        <w:tc>
          <w:tcPr>
            <w:tcW w:w="1153" w:type="pct"/>
          </w:tcPr>
          <w:p w14:paraId="212DECA9" w14:textId="7A6C3BA2" w:rsidR="00823639" w:rsidRPr="003117B3" w:rsidRDefault="00823639" w:rsidP="00823639">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Prevederile alin.(4) </w:t>
            </w:r>
            <w:r w:rsidR="00875FF3" w:rsidRPr="003117B3">
              <w:rPr>
                <w:rFonts w:ascii="Times New Roman" w:hAnsi="Times New Roman" w:cs="Times New Roman"/>
                <w:color w:val="000000" w:themeColor="text1"/>
                <w:lang w:val="ro-MD"/>
              </w:rPr>
              <w:t>au fost</w:t>
            </w:r>
            <w:r w:rsidRPr="003117B3">
              <w:rPr>
                <w:rFonts w:ascii="Times New Roman" w:hAnsi="Times New Roman" w:cs="Times New Roman"/>
                <w:color w:val="000000" w:themeColor="text1"/>
                <w:lang w:val="ro-MD"/>
              </w:rPr>
              <w:t xml:space="preserve"> transpuse în HCE – prevederi tranzitorii de aplicare paralelă a </w:t>
            </w:r>
            <w:r w:rsidRPr="003117B3">
              <w:rPr>
                <w:rFonts w:ascii="Times New Roman" w:hAnsi="Times New Roman" w:cs="Times New Roman"/>
                <w:color w:val="000000" w:themeColor="text1"/>
                <w:lang w:val="ro-MD"/>
              </w:rPr>
              <w:lastRenderedPageBreak/>
              <w:t>NSFR și principiului III (lichiditatea pe benzi de scadență).</w:t>
            </w:r>
          </w:p>
          <w:p w14:paraId="1BC6E77F" w14:textId="77777777" w:rsidR="00823639" w:rsidRPr="003117B3" w:rsidRDefault="00823639" w:rsidP="00D431EF">
            <w:pPr>
              <w:spacing w:line="276" w:lineRule="auto"/>
              <w:rPr>
                <w:rFonts w:ascii="Times New Roman" w:hAnsi="Times New Roman" w:cs="Times New Roman"/>
                <w:color w:val="000000" w:themeColor="text1"/>
                <w:lang w:val="ro-MD"/>
              </w:rPr>
            </w:pPr>
          </w:p>
        </w:tc>
        <w:tc>
          <w:tcPr>
            <w:tcW w:w="674" w:type="pct"/>
          </w:tcPr>
          <w:p w14:paraId="38ABA869" w14:textId="77777777" w:rsidR="00823639" w:rsidRPr="003117B3" w:rsidRDefault="00823639" w:rsidP="00D431EF">
            <w:pPr>
              <w:spacing w:line="276" w:lineRule="auto"/>
              <w:jc w:val="both"/>
              <w:rPr>
                <w:rFonts w:ascii="Times New Roman" w:hAnsi="Times New Roman" w:cs="Times New Roman"/>
                <w:b/>
                <w:color w:val="000000" w:themeColor="text1"/>
                <w:lang w:val="ro-MD"/>
              </w:rPr>
            </w:pPr>
          </w:p>
        </w:tc>
      </w:tr>
      <w:tr w:rsidR="003117B3" w:rsidRPr="003117B3" w14:paraId="204DDA5F"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E477837"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Articolul 414</w:t>
            </w:r>
          </w:p>
          <w:p w14:paraId="46DBB54A"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Respectarea cerințelor de lichiditate</w:t>
            </w:r>
          </w:p>
        </w:tc>
        <w:tc>
          <w:tcPr>
            <w:tcW w:w="1249" w:type="pct"/>
          </w:tcPr>
          <w:p w14:paraId="64F2919D" w14:textId="77777777" w:rsidR="00856B56" w:rsidRPr="003117B3" w:rsidRDefault="00856B56" w:rsidP="00856B56">
            <w:pPr>
              <w:pStyle w:val="CM4"/>
              <w:rPr>
                <w:rFonts w:ascii="Times New Roman" w:hAnsi="Times New Roman"/>
                <w:b/>
                <w:bCs/>
                <w:color w:val="000000" w:themeColor="text1"/>
                <w:sz w:val="22"/>
                <w:szCs w:val="22"/>
                <w:lang w:val="ro-RO"/>
              </w:rPr>
            </w:pPr>
            <w:r w:rsidRPr="003117B3">
              <w:rPr>
                <w:rFonts w:ascii="Times New Roman" w:hAnsi="Times New Roman"/>
                <w:b/>
                <w:bCs/>
                <w:color w:val="000000" w:themeColor="text1"/>
                <w:sz w:val="22"/>
                <w:szCs w:val="22"/>
                <w:lang w:val="ro-RO"/>
              </w:rPr>
              <w:t>Secțiunea 5</w:t>
            </w:r>
          </w:p>
          <w:p w14:paraId="75C6B384" w14:textId="48C90FF9" w:rsidR="00D431EF" w:rsidRPr="003117B3" w:rsidRDefault="00856B56" w:rsidP="00D278DB">
            <w:pPr>
              <w:pStyle w:val="CM4"/>
              <w:tabs>
                <w:tab w:val="left" w:pos="1134"/>
              </w:tabs>
              <w:rPr>
                <w:rFonts w:ascii="Times New Roman" w:hAnsi="Times New Roman"/>
                <w:b/>
                <w:color w:val="000000" w:themeColor="text1"/>
                <w:sz w:val="22"/>
                <w:szCs w:val="22"/>
                <w:lang w:val="ro-RO"/>
              </w:rPr>
            </w:pPr>
            <w:r w:rsidRPr="003117B3">
              <w:rPr>
                <w:rFonts w:ascii="Times New Roman" w:hAnsi="Times New Roman"/>
                <w:b/>
                <w:bCs/>
                <w:color w:val="000000" w:themeColor="text1"/>
                <w:sz w:val="22"/>
                <w:szCs w:val="22"/>
                <w:lang w:val="ro-RO"/>
              </w:rPr>
              <w:t>Respectarea cerinţelor de lichiditate</w:t>
            </w:r>
          </w:p>
        </w:tc>
        <w:tc>
          <w:tcPr>
            <w:tcW w:w="336" w:type="pct"/>
          </w:tcPr>
          <w:p w14:paraId="62E1D4C6"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1153" w:type="pct"/>
          </w:tcPr>
          <w:p w14:paraId="0CAC99A8"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674" w:type="pct"/>
          </w:tcPr>
          <w:p w14:paraId="548F80D2"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r>
      <w:tr w:rsidR="003117B3" w:rsidRPr="003117B3" w14:paraId="713F950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CB9F34A" w14:textId="77777777" w:rsidR="004D0C15" w:rsidRPr="003117B3" w:rsidRDefault="004D0C15" w:rsidP="004D0C15">
            <w:pPr>
              <w:spacing w:line="276" w:lineRule="auto"/>
              <w:rPr>
                <w:rFonts w:ascii="Times New Roman" w:hAnsi="Times New Roman" w:cs="Times New Roman"/>
                <w:color w:val="000000" w:themeColor="text1"/>
                <w:lang w:val="it-IT"/>
              </w:rPr>
            </w:pPr>
          </w:p>
          <w:p w14:paraId="41E34D84" w14:textId="77777777" w:rsidR="004D0C15" w:rsidRPr="003117B3" w:rsidRDefault="004D0C15" w:rsidP="004D0C15">
            <w:pPr>
              <w:spacing w:line="276" w:lineRule="auto"/>
              <w:rPr>
                <w:rFonts w:ascii="Times New Roman" w:hAnsi="Times New Roman" w:cs="Times New Roman"/>
                <w:color w:val="000000" w:themeColor="text1"/>
                <w:lang w:val="it-IT"/>
              </w:rPr>
            </w:pPr>
            <w:r w:rsidRPr="003117B3">
              <w:rPr>
                <w:rFonts w:ascii="Times New Roman" w:hAnsi="Times New Roman" w:cs="Times New Roman"/>
                <w:i/>
                <w:iCs/>
                <w:color w:val="000000" w:themeColor="text1"/>
                <w:lang w:val="it-IT"/>
              </w:rPr>
              <w:t xml:space="preserve">Articolul 414 </w:t>
            </w:r>
          </w:p>
          <w:p w14:paraId="4821A56F" w14:textId="77777777" w:rsidR="004D0C15" w:rsidRPr="003117B3" w:rsidRDefault="004D0C15" w:rsidP="004D0C15">
            <w:pPr>
              <w:spacing w:line="276" w:lineRule="auto"/>
              <w:rPr>
                <w:rFonts w:ascii="Times New Roman" w:hAnsi="Times New Roman" w:cs="Times New Roman"/>
                <w:color w:val="000000" w:themeColor="text1"/>
                <w:lang w:val="it-IT"/>
              </w:rPr>
            </w:pPr>
            <w:r w:rsidRPr="003117B3">
              <w:rPr>
                <w:rFonts w:ascii="Times New Roman" w:hAnsi="Times New Roman" w:cs="Times New Roman"/>
                <w:b/>
                <w:bCs/>
                <w:color w:val="000000" w:themeColor="text1"/>
                <w:lang w:val="it-IT"/>
              </w:rPr>
              <w:t xml:space="preserve">Respectarea cerinţelor de lichiditate </w:t>
            </w:r>
          </w:p>
          <w:p w14:paraId="7D397FE0" w14:textId="64C167DC" w:rsidR="00D431EF" w:rsidRPr="003117B3" w:rsidRDefault="004D0C15" w:rsidP="00D278DB">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it-IT"/>
              </w:rPr>
              <w:t xml:space="preserve">O instituţie care nu îndeplinește sau preconizează că nu va îndeplini cerinţele prevăzute la articolul 412 sau la articolul 413 alineatul (1), inclusiv în perioade de criză, notifică imediat acest lucru autorităţilor competente și transmite fără întârzieri nejustificate autorităţilor competente un plan în vederea restabilirii în timp util a conformităţii cu cerinţele prevăzute la articolul 412 sau la articolul 413 alineatul (1), după caz. Până la restabilirea conformităţii, instituţia raportează elementele menţionate în titlul III, în titlul IV, în actul de punere în aplicare menţionat la articolul 415 alineatul (3) sau (3a) sau în actul delegat menţionat la articolul 460 alineatul (1), după caz, </w:t>
            </w:r>
            <w:r w:rsidRPr="003117B3">
              <w:rPr>
                <w:rFonts w:ascii="Times New Roman" w:hAnsi="Times New Roman" w:cs="Times New Roman"/>
                <w:color w:val="000000" w:themeColor="text1"/>
                <w:lang w:val="it-IT"/>
              </w:rPr>
              <w:lastRenderedPageBreak/>
              <w:t>zilnic, până la sfârșitul fiecărei zile de lucru, cu excepţia cazului în care autoritatea competentă autorizează o frecvenţă de raportare mai scăzută și un termen de raportare mai lung. Autorităţile competente acordă astfel de autorizaţii doar pe baza situaţiei individuale a unei instituţii, ţinând seama de amploarea și complexitatea activităţilor instituţiei. Autorităţile competente monitorizează punerea în aplicare a planului de restabilire și impun o restabilire mai rapidă a conformităţii, după caz.</w:t>
            </w:r>
          </w:p>
        </w:tc>
        <w:tc>
          <w:tcPr>
            <w:tcW w:w="1249" w:type="pct"/>
          </w:tcPr>
          <w:p w14:paraId="69132D25" w14:textId="7D6DDBCE" w:rsidR="00856B56" w:rsidRPr="003117B3" w:rsidRDefault="00856B56" w:rsidP="00856B56">
            <w:pPr>
              <w:spacing w:after="0" w:line="240" w:lineRule="auto"/>
              <w:rPr>
                <w:rFonts w:ascii="Times New Roman" w:eastAsia="Arial Unicode MS" w:hAnsi="Times New Roman" w:cs="Times New Roman"/>
                <w:color w:val="000000" w:themeColor="text1"/>
                <w:lang w:val="ro-RO"/>
              </w:rPr>
            </w:pPr>
            <w:r w:rsidRPr="003117B3">
              <w:rPr>
                <w:rFonts w:ascii="Times New Roman" w:eastAsia="Arial Unicode MS" w:hAnsi="Times New Roman" w:cs="Times New Roman"/>
                <w:color w:val="000000" w:themeColor="text1"/>
                <w:lang w:val="ro-RO"/>
              </w:rPr>
              <w:lastRenderedPageBreak/>
              <w:t>6</w:t>
            </w:r>
            <w:r w:rsidRPr="003117B3">
              <w:rPr>
                <w:rFonts w:ascii="Times New Roman" w:eastAsia="Arial Unicode MS" w:hAnsi="Times New Roman" w:cs="Times New Roman"/>
                <w:color w:val="000000" w:themeColor="text1"/>
                <w:vertAlign w:val="superscript"/>
                <w:lang w:val="ro-RO"/>
              </w:rPr>
              <w:t>4</w:t>
            </w:r>
            <w:r w:rsidRPr="003117B3">
              <w:rPr>
                <w:rFonts w:ascii="Times New Roman" w:eastAsia="Arial Unicode MS" w:hAnsi="Times New Roman" w:cs="Times New Roman"/>
                <w:color w:val="000000" w:themeColor="text1"/>
                <w:lang w:val="ro-RO"/>
              </w:rPr>
              <w:t>. O bancă care nu îndeplinește sau preconizează că nu va îndeplini cerinţele prevăzute la secțiunea 3 sau la pct.6</w:t>
            </w:r>
            <w:r w:rsidRPr="003117B3">
              <w:rPr>
                <w:rFonts w:ascii="Times New Roman" w:eastAsia="Arial Unicode MS" w:hAnsi="Times New Roman" w:cs="Times New Roman"/>
                <w:color w:val="000000" w:themeColor="text1"/>
                <w:vertAlign w:val="superscript"/>
                <w:lang w:val="ro-RO"/>
              </w:rPr>
              <w:t>2</w:t>
            </w:r>
            <w:r w:rsidRPr="003117B3">
              <w:rPr>
                <w:rFonts w:ascii="Times New Roman" w:eastAsia="Arial Unicode MS" w:hAnsi="Times New Roman" w:cs="Times New Roman"/>
                <w:color w:val="000000" w:themeColor="text1"/>
                <w:lang w:val="ro-RO"/>
              </w:rPr>
              <w:t xml:space="preserve">, inclusiv în perioade de criză, notifică imediat acest lucru </w:t>
            </w:r>
            <w:r w:rsidR="009F1BC4" w:rsidRPr="003117B3">
              <w:rPr>
                <w:rFonts w:ascii="Times New Roman" w:eastAsia="Arial Unicode MS" w:hAnsi="Times New Roman" w:cs="Times New Roman"/>
                <w:color w:val="000000" w:themeColor="text1"/>
                <w:sz w:val="24"/>
                <w:szCs w:val="24"/>
                <w:lang w:val="ro-RO"/>
              </w:rPr>
              <w:t>BNM</w:t>
            </w:r>
            <w:r w:rsidRPr="003117B3">
              <w:rPr>
                <w:rFonts w:ascii="Times New Roman" w:eastAsia="Arial Unicode MS" w:hAnsi="Times New Roman" w:cs="Times New Roman"/>
                <w:color w:val="000000" w:themeColor="text1"/>
                <w:lang w:val="ro-RO"/>
              </w:rPr>
              <w:t xml:space="preserve"> și transmite fără întârzieri nejustificate </w:t>
            </w:r>
            <w:r w:rsidR="00592710" w:rsidRPr="003117B3">
              <w:rPr>
                <w:rFonts w:ascii="Times New Roman" w:eastAsia="Arial Unicode MS" w:hAnsi="Times New Roman" w:cs="Times New Roman"/>
                <w:color w:val="000000" w:themeColor="text1"/>
                <w:lang w:val="ro-RO"/>
              </w:rPr>
              <w:t>BNM</w:t>
            </w:r>
            <w:r w:rsidRPr="003117B3">
              <w:rPr>
                <w:rFonts w:ascii="Times New Roman" w:eastAsia="Arial Unicode MS" w:hAnsi="Times New Roman" w:cs="Times New Roman"/>
                <w:color w:val="000000" w:themeColor="text1"/>
                <w:lang w:val="ro-RO"/>
              </w:rPr>
              <w:t xml:space="preserve"> un plan în vederea restabilirii în timp util a conformităţii cu cerinţele prevăzute la secțiunea 3 sau la pct.6</w:t>
            </w:r>
            <w:r w:rsidRPr="003117B3">
              <w:rPr>
                <w:rFonts w:ascii="Times New Roman" w:eastAsia="Arial Unicode MS" w:hAnsi="Times New Roman" w:cs="Times New Roman"/>
                <w:color w:val="000000" w:themeColor="text1"/>
                <w:vertAlign w:val="superscript"/>
                <w:lang w:val="ro-RO"/>
              </w:rPr>
              <w:t>2</w:t>
            </w:r>
            <w:r w:rsidRPr="003117B3">
              <w:rPr>
                <w:rFonts w:ascii="Times New Roman" w:eastAsia="Arial Unicode MS" w:hAnsi="Times New Roman" w:cs="Times New Roman"/>
                <w:color w:val="000000" w:themeColor="text1"/>
                <w:lang w:val="ro-RO"/>
              </w:rPr>
              <w:t xml:space="preserve">, după caz. </w:t>
            </w:r>
          </w:p>
          <w:p w14:paraId="1FB7C64D" w14:textId="322EBD9F" w:rsidR="00856B56" w:rsidRPr="003117B3" w:rsidRDefault="00856B56" w:rsidP="00856B56">
            <w:pPr>
              <w:spacing w:after="0" w:line="240" w:lineRule="auto"/>
              <w:rPr>
                <w:rFonts w:ascii="Times New Roman" w:eastAsia="Arial Unicode MS" w:hAnsi="Times New Roman" w:cs="Times New Roman"/>
                <w:color w:val="000000" w:themeColor="text1"/>
                <w:lang w:val="ro-RO"/>
              </w:rPr>
            </w:pPr>
            <w:r w:rsidRPr="003117B3">
              <w:rPr>
                <w:rFonts w:ascii="Times New Roman" w:eastAsia="Arial Unicode MS" w:hAnsi="Times New Roman" w:cs="Times New Roman"/>
                <w:color w:val="000000" w:themeColor="text1"/>
                <w:lang w:val="ro-RO"/>
              </w:rPr>
              <w:t>6</w:t>
            </w:r>
            <w:r w:rsidRPr="003117B3">
              <w:rPr>
                <w:rFonts w:ascii="Times New Roman" w:eastAsia="Arial Unicode MS" w:hAnsi="Times New Roman" w:cs="Times New Roman"/>
                <w:color w:val="000000" w:themeColor="text1"/>
                <w:vertAlign w:val="superscript"/>
                <w:lang w:val="ro-RO"/>
              </w:rPr>
              <w:t>5</w:t>
            </w:r>
            <w:r w:rsidRPr="003117B3">
              <w:rPr>
                <w:rFonts w:ascii="Times New Roman" w:eastAsia="Arial Unicode MS" w:hAnsi="Times New Roman" w:cs="Times New Roman"/>
                <w:color w:val="000000" w:themeColor="text1"/>
                <w:lang w:val="ro-RO"/>
              </w:rPr>
              <w:t>. Până la restabilirea conformităţii, banca raportează elementele menționate în titlul II sau titlul III, după caz,</w:t>
            </w:r>
            <w:r w:rsidR="00EB43EE" w:rsidRPr="003117B3">
              <w:rPr>
                <w:rFonts w:ascii="Times New Roman" w:eastAsia="Arial Unicode MS" w:hAnsi="Times New Roman" w:cs="Times New Roman"/>
                <w:color w:val="000000" w:themeColor="text1"/>
                <w:lang w:val="ro-RO"/>
              </w:rPr>
              <w:t xml:space="preserve"> conform formularelor din </w:t>
            </w:r>
            <w:bookmarkStart w:id="1" w:name="_Hlk161410235"/>
            <w:r w:rsidR="00EB43EE" w:rsidRPr="003117B3">
              <w:rPr>
                <w:rFonts w:ascii="Times New Roman" w:eastAsia="Arial Unicode MS" w:hAnsi="Times New Roman" w:cs="Times New Roman"/>
                <w:color w:val="000000" w:themeColor="text1"/>
                <w:lang w:val="ro-RO"/>
              </w:rPr>
              <w:t>anexele nr.12 și 13 din</w:t>
            </w:r>
            <w:bookmarkEnd w:id="1"/>
            <w:r w:rsidRPr="003117B3">
              <w:rPr>
                <w:rFonts w:ascii="Times New Roman" w:eastAsia="Arial Unicode MS" w:hAnsi="Times New Roman" w:cs="Times New Roman"/>
                <w:color w:val="000000" w:themeColor="text1"/>
                <w:lang w:val="ro-RO"/>
              </w:rPr>
              <w:t xml:space="preserve"> Instrucțiunea cu privire la prezentarea de către bănci a rapoartelor COREP în scopuri de supraveghere aprobată prin HCE al BNM nr.117 din 24.05.2018 (în continuare – Instrucțiunea nr.117/2018), zilnic, până la sfârșitul fiecărei zile de lucru, cu excepţia </w:t>
            </w:r>
            <w:r w:rsidRPr="003117B3">
              <w:rPr>
                <w:rFonts w:ascii="Times New Roman" w:eastAsia="Arial Unicode MS" w:hAnsi="Times New Roman" w:cs="Times New Roman"/>
                <w:color w:val="000000" w:themeColor="text1"/>
                <w:lang w:val="ro-RO"/>
              </w:rPr>
              <w:lastRenderedPageBreak/>
              <w:t xml:space="preserve">cazului în care BNM </w:t>
            </w:r>
            <w:r w:rsidR="00BE1730" w:rsidRPr="003117B3">
              <w:rPr>
                <w:rFonts w:ascii="Times New Roman" w:eastAsia="Arial Unicode MS" w:hAnsi="Times New Roman" w:cs="Times New Roman"/>
                <w:color w:val="000000" w:themeColor="text1"/>
                <w:lang w:val="ro-RO"/>
              </w:rPr>
              <w:t>aprobă</w:t>
            </w:r>
            <w:r w:rsidRPr="003117B3">
              <w:rPr>
                <w:rFonts w:ascii="Times New Roman" w:eastAsia="Arial Unicode MS" w:hAnsi="Times New Roman" w:cs="Times New Roman"/>
                <w:color w:val="000000" w:themeColor="text1"/>
                <w:lang w:val="ro-RO"/>
              </w:rPr>
              <w:t xml:space="preserve"> o frecvenţă de raportare mai scăzută și un termen de raportare mai lung. </w:t>
            </w:r>
          </w:p>
          <w:p w14:paraId="683F33FD" w14:textId="0D76F982" w:rsidR="00856B56" w:rsidRPr="003117B3" w:rsidRDefault="00856B56" w:rsidP="00856B56">
            <w:pPr>
              <w:spacing w:after="0" w:line="240" w:lineRule="auto"/>
              <w:rPr>
                <w:rFonts w:ascii="Times New Roman" w:eastAsia="Arial Unicode MS" w:hAnsi="Times New Roman" w:cs="Times New Roman"/>
                <w:color w:val="000000" w:themeColor="text1"/>
                <w:lang w:val="ro-RO"/>
              </w:rPr>
            </w:pPr>
            <w:r w:rsidRPr="003117B3">
              <w:rPr>
                <w:rFonts w:ascii="Times New Roman" w:eastAsia="Arial Unicode MS" w:hAnsi="Times New Roman" w:cs="Times New Roman"/>
                <w:color w:val="000000" w:themeColor="text1"/>
                <w:lang w:val="ro-RO"/>
              </w:rPr>
              <w:t>6</w:t>
            </w:r>
            <w:r w:rsidRPr="003117B3">
              <w:rPr>
                <w:rFonts w:ascii="Times New Roman" w:eastAsia="Arial Unicode MS" w:hAnsi="Times New Roman" w:cs="Times New Roman"/>
                <w:color w:val="000000" w:themeColor="text1"/>
                <w:vertAlign w:val="superscript"/>
                <w:lang w:val="ro-RO"/>
              </w:rPr>
              <w:t>6</w:t>
            </w:r>
            <w:r w:rsidRPr="003117B3">
              <w:rPr>
                <w:rFonts w:ascii="Times New Roman" w:eastAsia="Arial Unicode MS" w:hAnsi="Times New Roman" w:cs="Times New Roman"/>
                <w:color w:val="000000" w:themeColor="text1"/>
                <w:lang w:val="ro-RO"/>
              </w:rPr>
              <w:t xml:space="preserve">. BNM acordă </w:t>
            </w:r>
            <w:r w:rsidR="00BE1730" w:rsidRPr="003117B3">
              <w:rPr>
                <w:rFonts w:ascii="Times New Roman" w:eastAsia="Arial Unicode MS" w:hAnsi="Times New Roman" w:cs="Times New Roman"/>
                <w:color w:val="000000" w:themeColor="text1"/>
                <w:lang w:val="ro-RO"/>
              </w:rPr>
              <w:t>aprobările</w:t>
            </w:r>
            <w:r w:rsidRPr="003117B3">
              <w:rPr>
                <w:rFonts w:ascii="Times New Roman" w:eastAsia="Arial Unicode MS" w:hAnsi="Times New Roman" w:cs="Times New Roman"/>
                <w:color w:val="000000" w:themeColor="text1"/>
                <w:lang w:val="ro-RO"/>
              </w:rPr>
              <w:t xml:space="preserve"> prevăzute la pct.6</w:t>
            </w:r>
            <w:r w:rsidRPr="003117B3">
              <w:rPr>
                <w:rFonts w:ascii="Times New Roman" w:eastAsia="Arial Unicode MS" w:hAnsi="Times New Roman" w:cs="Times New Roman"/>
                <w:color w:val="000000" w:themeColor="text1"/>
                <w:vertAlign w:val="superscript"/>
                <w:lang w:val="ro-RO"/>
              </w:rPr>
              <w:t>5</w:t>
            </w:r>
            <w:r w:rsidRPr="003117B3">
              <w:rPr>
                <w:rFonts w:ascii="Times New Roman" w:eastAsia="Arial Unicode MS" w:hAnsi="Times New Roman" w:cs="Times New Roman"/>
                <w:color w:val="000000" w:themeColor="text1"/>
                <w:lang w:val="ro-RO"/>
              </w:rPr>
              <w:t xml:space="preserve"> doar pe baza situaţiei individuale a băncii, ţinând  seama de amploarea și complexitatea activităţilor acesteia. </w:t>
            </w:r>
          </w:p>
          <w:p w14:paraId="21EBC045" w14:textId="7B02587E" w:rsidR="00D431EF" w:rsidRPr="003117B3" w:rsidRDefault="00856B56" w:rsidP="00D278DB">
            <w:pPr>
              <w:spacing w:after="0" w:line="240" w:lineRule="auto"/>
              <w:rPr>
                <w:rFonts w:ascii="Times New Roman" w:hAnsi="Times New Roman" w:cs="Times New Roman"/>
                <w:b/>
                <w:color w:val="000000" w:themeColor="text1"/>
                <w:lang w:val="ro-RO"/>
              </w:rPr>
            </w:pPr>
            <w:r w:rsidRPr="003117B3">
              <w:rPr>
                <w:rFonts w:ascii="Times New Roman" w:eastAsia="Arial Unicode MS" w:hAnsi="Times New Roman" w:cs="Times New Roman"/>
                <w:color w:val="000000" w:themeColor="text1"/>
                <w:lang w:val="ro-RO"/>
              </w:rPr>
              <w:t>6</w:t>
            </w:r>
            <w:r w:rsidRPr="003117B3">
              <w:rPr>
                <w:rFonts w:ascii="Times New Roman" w:eastAsia="Arial Unicode MS" w:hAnsi="Times New Roman" w:cs="Times New Roman"/>
                <w:color w:val="000000" w:themeColor="text1"/>
                <w:vertAlign w:val="superscript"/>
                <w:lang w:val="ro-RO"/>
              </w:rPr>
              <w:t>7</w:t>
            </w:r>
            <w:r w:rsidRPr="003117B3">
              <w:rPr>
                <w:rFonts w:ascii="Times New Roman" w:eastAsia="Arial Unicode MS" w:hAnsi="Times New Roman" w:cs="Times New Roman"/>
                <w:color w:val="000000" w:themeColor="text1"/>
                <w:lang w:val="ro-RO"/>
              </w:rPr>
              <w:t>. BNM monitorizează punerea în aplicare a planului de restabilire și impune o restabilire mai rapidă a conformităţii, după caz.</w:t>
            </w:r>
            <w:r w:rsidRPr="003117B3">
              <w:rPr>
                <w:rFonts w:ascii="Times New Roman" w:eastAsia="Arial Unicode MS" w:hAnsi="Times New Roman" w:cs="Times New Roman"/>
                <w:color w:val="000000" w:themeColor="text1"/>
                <w:lang w:val="it-IT"/>
              </w:rPr>
              <w:t xml:space="preserve"> </w:t>
            </w:r>
          </w:p>
        </w:tc>
        <w:tc>
          <w:tcPr>
            <w:tcW w:w="336" w:type="pct"/>
          </w:tcPr>
          <w:p w14:paraId="6C3BCF56"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5D60CCBA" w14:textId="544EE464" w:rsidR="00D431EF" w:rsidRPr="003117B3" w:rsidRDefault="00D431EF" w:rsidP="00D431EF">
            <w:pPr>
              <w:spacing w:line="276" w:lineRule="auto"/>
              <w:rPr>
                <w:rFonts w:ascii="Times New Roman" w:hAnsi="Times New Roman" w:cs="Times New Roman"/>
                <w:color w:val="000000" w:themeColor="text1"/>
                <w:lang w:val="ro-MD"/>
              </w:rPr>
            </w:pPr>
          </w:p>
          <w:p w14:paraId="4D8DFFE4" w14:textId="2DE0C546" w:rsidR="00BA1592" w:rsidRPr="003117B3" w:rsidRDefault="00BA1592" w:rsidP="00D431EF">
            <w:pPr>
              <w:spacing w:line="276" w:lineRule="auto"/>
              <w:rPr>
                <w:rFonts w:ascii="Times New Roman" w:hAnsi="Times New Roman" w:cs="Times New Roman"/>
                <w:color w:val="000000" w:themeColor="text1"/>
                <w:lang w:val="ro-MD"/>
              </w:rPr>
            </w:pPr>
          </w:p>
        </w:tc>
        <w:tc>
          <w:tcPr>
            <w:tcW w:w="674" w:type="pct"/>
          </w:tcPr>
          <w:p w14:paraId="5B9EAC29"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r>
      <w:tr w:rsidR="003117B3" w:rsidRPr="003117B3" w14:paraId="67EF5D7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F454294"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TITLUL II</w:t>
            </w:r>
          </w:p>
          <w:p w14:paraId="0F17E62F" w14:textId="77777777" w:rsidR="00D431EF" w:rsidRPr="003117B3" w:rsidRDefault="00D431EF" w:rsidP="00D431EF">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RAPORTAREA PRIVIND LICHIDITATEA</w:t>
            </w:r>
          </w:p>
        </w:tc>
        <w:tc>
          <w:tcPr>
            <w:tcW w:w="1249" w:type="pct"/>
          </w:tcPr>
          <w:p w14:paraId="22E65851" w14:textId="77777777" w:rsidR="00D431EF" w:rsidRPr="003117B3" w:rsidRDefault="00D431EF" w:rsidP="00D431EF">
            <w:pPr>
              <w:spacing w:after="0" w:line="276" w:lineRule="auto"/>
              <w:rPr>
                <w:rFonts w:ascii="Times New Roman" w:hAnsi="Times New Roman" w:cs="Times New Roman"/>
                <w:b/>
                <w:bCs/>
                <w:color w:val="000000" w:themeColor="text1"/>
                <w:lang w:val="ro-RO"/>
              </w:rPr>
            </w:pPr>
          </w:p>
        </w:tc>
        <w:tc>
          <w:tcPr>
            <w:tcW w:w="336" w:type="pct"/>
          </w:tcPr>
          <w:p w14:paraId="79D6DA96"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c>
          <w:tcPr>
            <w:tcW w:w="1153" w:type="pct"/>
          </w:tcPr>
          <w:p w14:paraId="428CB16A"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c>
          <w:tcPr>
            <w:tcW w:w="674" w:type="pct"/>
          </w:tcPr>
          <w:p w14:paraId="2A7F1257"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r>
      <w:tr w:rsidR="003117B3" w:rsidRPr="003117B3" w14:paraId="4A4F7523"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4E23BA1"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Articolul 415</w:t>
            </w:r>
          </w:p>
          <w:p w14:paraId="56168AAB"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Obligația de raportare și formatul de raportare</w:t>
            </w:r>
          </w:p>
        </w:tc>
        <w:tc>
          <w:tcPr>
            <w:tcW w:w="1249" w:type="pct"/>
          </w:tcPr>
          <w:p w14:paraId="39D2B3A3" w14:textId="719CC271" w:rsidR="00D431EF" w:rsidRPr="003117B3" w:rsidRDefault="00D431EF" w:rsidP="00D431EF">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 xml:space="preserve">Secțiunea </w:t>
            </w:r>
            <w:r w:rsidR="008A0F80" w:rsidRPr="003117B3">
              <w:rPr>
                <w:rFonts w:ascii="Times New Roman" w:hAnsi="Times New Roman" w:cs="Times New Roman"/>
                <w:b/>
                <w:color w:val="000000" w:themeColor="text1"/>
                <w:lang w:val="ro-MD"/>
              </w:rPr>
              <w:t>6</w:t>
            </w:r>
            <w:r w:rsidRPr="003117B3">
              <w:rPr>
                <w:rFonts w:ascii="Times New Roman" w:hAnsi="Times New Roman" w:cs="Times New Roman"/>
                <w:b/>
                <w:color w:val="000000" w:themeColor="text1"/>
                <w:lang w:val="ro-MD"/>
              </w:rPr>
              <w:t>. Obligația de raportare și formatul de raportare</w:t>
            </w:r>
          </w:p>
        </w:tc>
        <w:tc>
          <w:tcPr>
            <w:tcW w:w="336" w:type="pct"/>
          </w:tcPr>
          <w:p w14:paraId="6342552C"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1153" w:type="pct"/>
          </w:tcPr>
          <w:p w14:paraId="02CA547A"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674" w:type="pct"/>
          </w:tcPr>
          <w:p w14:paraId="2717777B"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r>
      <w:tr w:rsidR="003117B3" w:rsidRPr="003117B3" w14:paraId="140B297C" w14:textId="77777777" w:rsidTr="00AB5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2"/>
        </w:trPr>
        <w:tc>
          <w:tcPr>
            <w:tcW w:w="1588" w:type="pct"/>
            <w:shd w:val="clear" w:color="auto" w:fill="auto"/>
          </w:tcPr>
          <w:p w14:paraId="2D8D5257" w14:textId="77777777" w:rsidR="009C4C33" w:rsidRPr="003117B3" w:rsidRDefault="009C4C33" w:rsidP="009C4C33">
            <w:pPr>
              <w:spacing w:line="276" w:lineRule="auto"/>
              <w:rPr>
                <w:rFonts w:ascii="Times New Roman" w:hAnsi="Times New Roman" w:cs="Times New Roman"/>
                <w:b/>
                <w:color w:val="000000" w:themeColor="text1"/>
                <w:lang w:val="it-IT"/>
              </w:rPr>
            </w:pPr>
            <w:r w:rsidRPr="003117B3">
              <w:rPr>
                <w:rFonts w:ascii="Times New Roman" w:hAnsi="Times New Roman" w:cs="Times New Roman"/>
                <w:b/>
                <w:bCs/>
                <w:color w:val="000000" w:themeColor="text1"/>
                <w:lang w:val="it-IT"/>
              </w:rPr>
              <w:lastRenderedPageBreak/>
              <w:t xml:space="preserve">▼M8 </w:t>
            </w:r>
          </w:p>
          <w:p w14:paraId="219CAA73" w14:textId="77777777" w:rsidR="009C4C33" w:rsidRPr="003117B3" w:rsidRDefault="009C4C33" w:rsidP="009C4C33">
            <w:pPr>
              <w:spacing w:line="276" w:lineRule="auto"/>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(1) Instituţiile raportează autorităţilor competente elementele menţionate în standardele tehnice de punere în aplicare menţionate la alineatul (3) sau (3a) de la prezentul articol, în titlul IV și în actul delegat menţionat la articolul 460 alineatul (1), în moneda de raportare, indiferent de denominarea efectivă a elementelor respective. Până în momentul în care sunt specificate și introduse în dreptul Uniunii obligaţiile de raportare și formatul raportării pentru indicatorul de finanţare stabilă netă prevăzut în titlul IV, instituţiile raportează autorităţilor competente elementele menţionate în titlul III în moneda de raportare, indiferent de denominarea efectivă a acestor elemente. </w:t>
            </w:r>
          </w:p>
          <w:p w14:paraId="7A9309B6" w14:textId="1243C543" w:rsidR="009C4C33" w:rsidRPr="003117B3" w:rsidRDefault="009C4C33" w:rsidP="009C4C33">
            <w:pPr>
              <w:spacing w:line="276" w:lineRule="auto"/>
              <w:rPr>
                <w:rFonts w:ascii="Times New Roman" w:hAnsi="Times New Roman" w:cs="Times New Roman"/>
                <w:b/>
                <w:color w:val="000000" w:themeColor="text1"/>
                <w:lang w:val="ro-MD"/>
              </w:rPr>
            </w:pPr>
            <w:r w:rsidRPr="003117B3">
              <w:rPr>
                <w:rFonts w:ascii="Times New Roman" w:hAnsi="Times New Roman" w:cs="Times New Roman"/>
                <w:color w:val="000000" w:themeColor="text1"/>
                <w:lang w:val="it-IT"/>
              </w:rPr>
              <w:t>Frecvenţa de raportare este cel puţin lunară pentru elementele menţionate în actul delegat menţionat la articolul 460 alineatul (1) și cel puţin trimestrială pentru elementele menţionate în titlurile III și IV.</w:t>
            </w:r>
          </w:p>
        </w:tc>
        <w:tc>
          <w:tcPr>
            <w:tcW w:w="1249" w:type="pct"/>
          </w:tcPr>
          <w:p w14:paraId="13102BB7" w14:textId="7626A884" w:rsidR="00EA6553" w:rsidRPr="003117B3" w:rsidRDefault="00EA6553" w:rsidP="00D278DB">
            <w:pPr>
              <w:tabs>
                <w:tab w:val="left" w:pos="1134"/>
              </w:tabs>
              <w:autoSpaceDE w:val="0"/>
              <w:autoSpaceDN w:val="0"/>
              <w:adjustRightInd w:val="0"/>
              <w:spacing w:after="0" w:line="240" w:lineRule="auto"/>
              <w:jc w:val="both"/>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6</w:t>
            </w:r>
            <w:r w:rsidR="00BA1592" w:rsidRPr="003117B3">
              <w:rPr>
                <w:rFonts w:ascii="Times New Roman" w:eastAsia="Arial Unicode MS" w:hAnsi="Times New Roman" w:cs="Times New Roman"/>
                <w:b/>
                <w:bCs/>
                <w:color w:val="000000" w:themeColor="text1"/>
                <w:vertAlign w:val="superscript"/>
                <w:lang w:val="ro-RO"/>
              </w:rPr>
              <w:t>8</w:t>
            </w:r>
            <w:r w:rsidRPr="003117B3">
              <w:rPr>
                <w:rFonts w:ascii="Times New Roman" w:eastAsia="Arial Unicode MS" w:hAnsi="Times New Roman" w:cs="Times New Roman"/>
                <w:b/>
                <w:bCs/>
                <w:color w:val="000000" w:themeColor="text1"/>
                <w:lang w:val="ro-RO"/>
              </w:rPr>
              <w:t>.</w:t>
            </w:r>
            <w:r w:rsidRPr="003117B3">
              <w:rPr>
                <w:rFonts w:ascii="Times New Roman" w:eastAsia="Arial Unicode MS" w:hAnsi="Times New Roman" w:cs="Times New Roman"/>
                <w:bCs/>
                <w:color w:val="000000" w:themeColor="text1"/>
                <w:lang w:val="ro-RO"/>
              </w:rPr>
              <w:t xml:space="preserve"> Băncile raportează BNM </w:t>
            </w:r>
            <w:r w:rsidR="00B37FF7" w:rsidRPr="003117B3">
              <w:rPr>
                <w:rFonts w:ascii="Times New Roman" w:eastAsia="Arial Unicode MS" w:hAnsi="Times New Roman" w:cs="Times New Roman"/>
                <w:bCs/>
                <w:color w:val="000000" w:themeColor="text1"/>
                <w:lang w:val="ro-RO"/>
              </w:rPr>
              <w:t>în conformitate cu</w:t>
            </w:r>
            <w:r w:rsidR="00EB43EE" w:rsidRPr="003117B3">
              <w:rPr>
                <w:rFonts w:ascii="Times New Roman" w:eastAsia="Arial Unicode MS" w:hAnsi="Times New Roman" w:cs="Times New Roman"/>
                <w:bCs/>
                <w:color w:val="000000" w:themeColor="text1"/>
                <w:lang w:val="ro-RO"/>
              </w:rPr>
              <w:t xml:space="preserve"> anexele nr.12 și 13 din</w:t>
            </w:r>
            <w:r w:rsidR="00B37FF7" w:rsidRPr="003117B3">
              <w:rPr>
                <w:rFonts w:ascii="Times New Roman" w:eastAsia="Arial Unicode MS" w:hAnsi="Times New Roman" w:cs="Times New Roman"/>
                <w:bCs/>
                <w:color w:val="000000" w:themeColor="text1"/>
                <w:lang w:val="ro-RO"/>
              </w:rPr>
              <w:t xml:space="preserve"> Instrucțiunea nr.117/2018 </w:t>
            </w:r>
            <w:r w:rsidRPr="003117B3">
              <w:rPr>
                <w:rFonts w:ascii="Times New Roman" w:eastAsia="Arial Unicode MS" w:hAnsi="Times New Roman" w:cs="Times New Roman"/>
                <w:bCs/>
                <w:color w:val="000000" w:themeColor="text1"/>
                <w:lang w:val="ro-RO"/>
              </w:rPr>
              <w:t>elementele aferente raportării indicatorul</w:t>
            </w:r>
            <w:r w:rsidR="009A17A8" w:rsidRPr="003117B3">
              <w:rPr>
                <w:rFonts w:ascii="Times New Roman" w:eastAsia="Arial Unicode MS" w:hAnsi="Times New Roman" w:cs="Times New Roman"/>
                <w:bCs/>
                <w:color w:val="000000" w:themeColor="text1"/>
                <w:lang w:val="ro-RO"/>
              </w:rPr>
              <w:t>ui</w:t>
            </w:r>
            <w:r w:rsidRPr="003117B3">
              <w:rPr>
                <w:rFonts w:ascii="Times New Roman" w:eastAsia="Arial Unicode MS" w:hAnsi="Times New Roman" w:cs="Times New Roman"/>
                <w:bCs/>
                <w:color w:val="000000" w:themeColor="text1"/>
                <w:lang w:val="ro-RO"/>
              </w:rPr>
              <w:t xml:space="preserve"> de acoperire a necesarului de lichiditate și indicatorului de finanțare stabilă netă, în </w:t>
            </w:r>
            <w:r w:rsidR="00F01963" w:rsidRPr="003117B3">
              <w:rPr>
                <w:rFonts w:ascii="Times New Roman" w:eastAsia="Arial Unicode MS" w:hAnsi="Times New Roman" w:cs="Times New Roman"/>
                <w:bCs/>
                <w:color w:val="000000" w:themeColor="text1"/>
                <w:lang w:val="ro-RO"/>
              </w:rPr>
              <w:t>moneda de raportare</w:t>
            </w:r>
            <w:r w:rsidRPr="003117B3">
              <w:rPr>
                <w:rFonts w:ascii="Times New Roman" w:eastAsia="Arial Unicode MS" w:hAnsi="Times New Roman" w:cs="Times New Roman"/>
                <w:bCs/>
                <w:color w:val="000000" w:themeColor="text1"/>
                <w:lang w:val="ro-RO"/>
              </w:rPr>
              <w:t xml:space="preserve">, indiferent de denominarea efectivă a elementelor respective. </w:t>
            </w:r>
          </w:p>
          <w:p w14:paraId="27A60225" w14:textId="77777777" w:rsidR="00B37FF7" w:rsidRPr="003117B3" w:rsidRDefault="00B37FF7" w:rsidP="00D278DB">
            <w:pPr>
              <w:tabs>
                <w:tab w:val="left" w:pos="1134"/>
              </w:tabs>
              <w:autoSpaceDE w:val="0"/>
              <w:autoSpaceDN w:val="0"/>
              <w:adjustRightInd w:val="0"/>
              <w:spacing w:after="0" w:line="240" w:lineRule="auto"/>
              <w:jc w:val="both"/>
              <w:rPr>
                <w:rFonts w:ascii="Times New Roman" w:eastAsia="Arial Unicode MS" w:hAnsi="Times New Roman" w:cs="Times New Roman"/>
                <w:bCs/>
                <w:color w:val="000000" w:themeColor="text1"/>
                <w:lang w:val="ro-RO"/>
              </w:rPr>
            </w:pPr>
          </w:p>
          <w:p w14:paraId="75E873F0" w14:textId="758FA03E" w:rsidR="009C4C33" w:rsidRPr="003117B3" w:rsidDel="00FB1F08" w:rsidRDefault="00EA6553" w:rsidP="003117B3">
            <w:pPr>
              <w:spacing w:after="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color w:val="000000" w:themeColor="text1"/>
                <w:lang w:val="ro-RO"/>
              </w:rPr>
              <w:t>6</w:t>
            </w:r>
            <w:r w:rsidR="00BA1592" w:rsidRPr="003117B3">
              <w:rPr>
                <w:rFonts w:ascii="Times New Roman" w:eastAsia="Arial Unicode MS" w:hAnsi="Times New Roman" w:cs="Times New Roman"/>
                <w:b/>
                <w:color w:val="000000" w:themeColor="text1"/>
                <w:vertAlign w:val="superscript"/>
                <w:lang w:val="ro-RO"/>
              </w:rPr>
              <w:t>9</w:t>
            </w:r>
            <w:r w:rsidRPr="003117B3">
              <w:rPr>
                <w:rFonts w:ascii="Times New Roman" w:eastAsia="Arial Unicode MS" w:hAnsi="Times New Roman" w:cs="Times New Roman"/>
                <w:b/>
                <w:color w:val="000000" w:themeColor="text1"/>
                <w:lang w:val="ro-RO"/>
              </w:rPr>
              <w:t xml:space="preserve">. </w:t>
            </w:r>
            <w:r w:rsidR="00BA1592" w:rsidRPr="003117B3">
              <w:rPr>
                <w:rFonts w:ascii="Times New Roman" w:eastAsia="Arial Unicode MS" w:hAnsi="Times New Roman" w:cs="Times New Roman"/>
                <w:bCs/>
                <w:color w:val="000000" w:themeColor="text1"/>
                <w:lang w:val="ro-RO"/>
              </w:rPr>
              <w:t>Fără a aduce atingere cerințelor pct.6</w:t>
            </w:r>
            <w:r w:rsidR="00BA1592" w:rsidRPr="003117B3">
              <w:rPr>
                <w:rFonts w:ascii="Times New Roman" w:eastAsia="Arial Unicode MS" w:hAnsi="Times New Roman" w:cs="Times New Roman"/>
                <w:bCs/>
                <w:color w:val="000000" w:themeColor="text1"/>
                <w:vertAlign w:val="superscript"/>
                <w:lang w:val="ro-RO"/>
              </w:rPr>
              <w:t>5</w:t>
            </w:r>
            <w:r w:rsidR="00BA1592" w:rsidRPr="003117B3">
              <w:rPr>
                <w:rFonts w:ascii="Times New Roman" w:eastAsia="Arial Unicode MS" w:hAnsi="Times New Roman" w:cs="Times New Roman"/>
                <w:bCs/>
                <w:color w:val="000000" w:themeColor="text1"/>
                <w:lang w:val="ro-RO"/>
              </w:rPr>
              <w:t xml:space="preserve"> frecvența</w:t>
            </w:r>
            <w:r w:rsidR="00BA1592" w:rsidRPr="003117B3">
              <w:rPr>
                <w:rFonts w:ascii="Times New Roman" w:eastAsia="Arial Unicode MS" w:hAnsi="Times New Roman" w:cs="Times New Roman"/>
                <w:b/>
                <w:color w:val="000000" w:themeColor="text1"/>
                <w:lang w:val="ro-RO"/>
              </w:rPr>
              <w:t xml:space="preserve"> </w:t>
            </w:r>
            <w:r w:rsidRPr="003117B3">
              <w:rPr>
                <w:rFonts w:ascii="Times New Roman" w:eastAsia="Arial Unicode MS" w:hAnsi="Times New Roman" w:cs="Times New Roman"/>
                <w:color w:val="000000" w:themeColor="text1"/>
                <w:lang w:val="ro-RO"/>
              </w:rPr>
              <w:t xml:space="preserve">de raportare este cel puţin lunară pentru elementele menţionate </w:t>
            </w:r>
            <w:r w:rsidR="008461B6" w:rsidRPr="003117B3">
              <w:rPr>
                <w:rFonts w:ascii="Times New Roman" w:eastAsia="Arial Unicode MS" w:hAnsi="Times New Roman" w:cs="Times New Roman"/>
                <w:color w:val="000000" w:themeColor="text1"/>
                <w:lang w:val="ro-RO"/>
              </w:rPr>
              <w:t>în</w:t>
            </w:r>
            <w:r w:rsidRPr="003117B3">
              <w:rPr>
                <w:rFonts w:ascii="Times New Roman" w:eastAsia="Arial Unicode MS" w:hAnsi="Times New Roman" w:cs="Times New Roman"/>
                <w:color w:val="000000" w:themeColor="text1"/>
                <w:lang w:val="ro-RO"/>
              </w:rPr>
              <w:t xml:space="preserve"> titlul II și cel puţin trimestrială pentru elementele menţionate în </w:t>
            </w:r>
            <w:r w:rsidR="00666B02" w:rsidRPr="003117B3">
              <w:rPr>
                <w:rFonts w:ascii="Times New Roman" w:eastAsia="Arial Unicode MS" w:hAnsi="Times New Roman" w:cs="Times New Roman"/>
                <w:color w:val="000000" w:themeColor="text1"/>
                <w:lang w:val="ro-RO"/>
              </w:rPr>
              <w:t>titlul III</w:t>
            </w:r>
            <w:r w:rsidRPr="003117B3">
              <w:rPr>
                <w:rFonts w:ascii="Times New Roman" w:eastAsia="Arial Unicode MS" w:hAnsi="Times New Roman" w:cs="Times New Roman"/>
                <w:color w:val="000000" w:themeColor="text1"/>
                <w:lang w:val="ro-RO"/>
              </w:rPr>
              <w:t>.</w:t>
            </w:r>
          </w:p>
        </w:tc>
        <w:tc>
          <w:tcPr>
            <w:tcW w:w="336" w:type="pct"/>
          </w:tcPr>
          <w:p w14:paraId="71B4C2E2" w14:textId="10DB15EA" w:rsidR="009C4C33" w:rsidRPr="003117B3" w:rsidRDefault="009C4C33"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Parțial compatibil</w:t>
            </w:r>
          </w:p>
        </w:tc>
        <w:tc>
          <w:tcPr>
            <w:tcW w:w="1153" w:type="pct"/>
          </w:tcPr>
          <w:p w14:paraId="7FB6CA07" w14:textId="570A2DBA" w:rsidR="00AE223D" w:rsidRPr="003117B3" w:rsidRDefault="00AE223D" w:rsidP="007A11D5">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art.415 alin.(1) astfel cum au fost modificate prin Regulamentul 2019/876 transpuse în pct.6</w:t>
            </w:r>
            <w:r w:rsidR="00AF151F" w:rsidRPr="003117B3">
              <w:rPr>
                <w:rFonts w:ascii="Times New Roman" w:hAnsi="Times New Roman" w:cs="Times New Roman"/>
                <w:color w:val="000000" w:themeColor="text1"/>
                <w:vertAlign w:val="superscript"/>
                <w:lang w:val="ro-MD"/>
              </w:rPr>
              <w:t>8</w:t>
            </w:r>
            <w:r w:rsidRPr="003117B3">
              <w:rPr>
                <w:rFonts w:ascii="Times New Roman" w:hAnsi="Times New Roman" w:cs="Times New Roman"/>
                <w:color w:val="000000" w:themeColor="text1"/>
                <w:lang w:val="ro-MD"/>
              </w:rPr>
              <w:t xml:space="preserve"> și 6</w:t>
            </w:r>
            <w:r w:rsidR="00AF151F" w:rsidRPr="003117B3">
              <w:rPr>
                <w:rFonts w:ascii="Times New Roman" w:hAnsi="Times New Roman" w:cs="Times New Roman"/>
                <w:color w:val="000000" w:themeColor="text1"/>
                <w:vertAlign w:val="superscript"/>
                <w:lang w:val="ro-MD"/>
              </w:rPr>
              <w:t>9</w:t>
            </w:r>
            <w:r w:rsidRPr="003117B3">
              <w:rPr>
                <w:rFonts w:ascii="Times New Roman" w:hAnsi="Times New Roman" w:cs="Times New Roman"/>
                <w:color w:val="000000" w:themeColor="text1"/>
                <w:lang w:val="ro-MD"/>
              </w:rPr>
              <w:t xml:space="preserve"> din Regulamentul nr.44/2020.</w:t>
            </w:r>
          </w:p>
          <w:p w14:paraId="3EA54C51" w14:textId="22036C74" w:rsidR="009C4C33" w:rsidRPr="003117B3" w:rsidRDefault="009C4C33" w:rsidP="003117B3">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Nu au fost transpuse </w:t>
            </w:r>
            <w:r w:rsidR="007A11D5" w:rsidRPr="003117B3">
              <w:rPr>
                <w:rFonts w:ascii="Times New Roman" w:hAnsi="Times New Roman" w:cs="Times New Roman"/>
                <w:color w:val="000000" w:themeColor="text1"/>
                <w:lang w:val="ro-MD"/>
              </w:rPr>
              <w:t xml:space="preserve">prevederile </w:t>
            </w:r>
            <w:r w:rsidRPr="003117B3">
              <w:rPr>
                <w:rFonts w:ascii="Times New Roman" w:hAnsi="Times New Roman" w:cs="Times New Roman"/>
                <w:color w:val="000000" w:themeColor="text1"/>
                <w:lang w:val="ro-MD"/>
              </w:rPr>
              <w:t>referitoare la raportarea de către instituţiile mici și cu un grad redus de complexitate (3a)</w:t>
            </w:r>
            <w:r w:rsidR="007A11D5" w:rsidRPr="003117B3">
              <w:rPr>
                <w:rFonts w:ascii="Times New Roman" w:hAnsi="Times New Roman" w:cs="Times New Roman"/>
                <w:color w:val="000000" w:themeColor="text1"/>
                <w:lang w:val="ro-MD"/>
              </w:rPr>
              <w:t xml:space="preserve">, deoarece băncile din RM nu întrunesc toate condițiile din definiția „instituție mică și cu un grad redus de complexitate”. În afară de aceasta  urmare transpunerii pragurilor stabilite în definiția „instituție mică și cu un grad redus de complexitate” proporțional activelor bancare medii a țărilor membre UE pentru ultimii 8 ani s-a constatat că la moment nu sunt bănci care s-ar plasa sub pragul estimat pentru a fi calificate drept instituție mică și cu un grad redus de complexitate. </w:t>
            </w:r>
          </w:p>
        </w:tc>
        <w:tc>
          <w:tcPr>
            <w:tcW w:w="674" w:type="pct"/>
          </w:tcPr>
          <w:p w14:paraId="666D8EC6" w14:textId="77777777" w:rsidR="009C4C33" w:rsidRPr="003117B3" w:rsidRDefault="009C4C33" w:rsidP="00D431EF">
            <w:pPr>
              <w:spacing w:line="276" w:lineRule="auto"/>
              <w:jc w:val="both"/>
              <w:rPr>
                <w:rFonts w:ascii="Times New Roman" w:hAnsi="Times New Roman" w:cs="Times New Roman"/>
                <w:b/>
                <w:color w:val="000000" w:themeColor="text1"/>
                <w:lang w:val="ro-MD"/>
              </w:rPr>
            </w:pPr>
          </w:p>
        </w:tc>
      </w:tr>
      <w:tr w:rsidR="003117B3" w:rsidRPr="003117B3" w14:paraId="05FD69C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3191DAD" w14:textId="77777777" w:rsidR="009C4C33" w:rsidRPr="003117B3" w:rsidRDefault="009C4C33" w:rsidP="009C4C33">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M8</w:t>
            </w:r>
          </w:p>
          <w:p w14:paraId="45942581" w14:textId="77777777" w:rsidR="009C4C33" w:rsidRPr="003117B3" w:rsidRDefault="009C4C33" w:rsidP="009C4C33">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(2) Instituţia raportează separat autorităţilor competente elementele menţionate în standardele tehnice de punere în aplicare menţionate la alineatul (3) sau (3a) de la prezentul articol, în titlul III, până când obligaţia de raportare și formatul raportării pentru indicatorul de finanţare stabilă netă prevăzut la titlul IV vor fi specificate și introduse în dreptul Uniunii, în titlul IV și în actul delegat menţionat la articolul 460 alineatul (1), după caz, în conformitate cu următoarele: </w:t>
            </w:r>
          </w:p>
          <w:p w14:paraId="5F6F8D6B" w14:textId="77777777" w:rsidR="009C4C33" w:rsidRPr="003117B3" w:rsidRDefault="009C4C33" w:rsidP="009C4C33">
            <w:pPr>
              <w:spacing w:line="276" w:lineRule="auto"/>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 în cazul în care elementele sunt denominate într-o altă monedă decât moneda de raportare și instituţia are datorii agregate denominate într-o astfel de monedă care sunt mai mari sau egale cu 5 % din datoriile totale ale instituţiei sau ale subgrupului unic de lichiditate, excluzând fondurile proprii și elementele extrabilanţiere, raportarea se efectuează în moneda de denominare; </w:t>
            </w:r>
          </w:p>
          <w:p w14:paraId="55912D9E" w14:textId="77777777" w:rsidR="009C4C33" w:rsidRPr="003117B3" w:rsidRDefault="009C4C33" w:rsidP="009C4C33">
            <w:pPr>
              <w:spacing w:line="276" w:lineRule="auto"/>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(b) în cazul în care elementele sunt denominate în moneda unui stat membru gazdă în care instituţia deţine o sucursală semnificativă, precum cea menţionată la articolul 51 din Directiva </w:t>
            </w:r>
            <w:r w:rsidRPr="003117B3">
              <w:rPr>
                <w:rFonts w:ascii="Times New Roman" w:hAnsi="Times New Roman" w:cs="Times New Roman"/>
                <w:color w:val="000000" w:themeColor="text1"/>
                <w:lang w:val="it-IT"/>
              </w:rPr>
              <w:lastRenderedPageBreak/>
              <w:t xml:space="preserve">2013/36/UE, și respectivul stat membru gazdă utilizează o altă monedă decât moneda de raportare, raportarea se efectuează în moneda statului membru în care se află sucursala semnificativă; </w:t>
            </w:r>
          </w:p>
          <w:p w14:paraId="48E1D2B3" w14:textId="3B6DEE24" w:rsidR="009C4C33" w:rsidRPr="003117B3" w:rsidRDefault="009C4C33" w:rsidP="003117B3">
            <w:pPr>
              <w:spacing w:line="276" w:lineRule="auto"/>
              <w:rPr>
                <w:rFonts w:ascii="Times New Roman" w:hAnsi="Times New Roman" w:cs="Times New Roman"/>
                <w:b/>
                <w:color w:val="000000" w:themeColor="text1"/>
                <w:lang w:val="it-IT"/>
              </w:rPr>
            </w:pPr>
            <w:r w:rsidRPr="003117B3">
              <w:rPr>
                <w:rFonts w:ascii="Times New Roman" w:hAnsi="Times New Roman" w:cs="Times New Roman"/>
                <w:color w:val="000000" w:themeColor="text1"/>
                <w:lang w:val="it-IT"/>
              </w:rPr>
              <w:t xml:space="preserve">(c) în cazul în care elementele sunt denominate în moneda de raportare și cuantumul agregat al datoriilor denominate în alte monede decât moneda de raportare este mai mare sau egal cu 5 % din datoriile totale ale instituţiei sau ale subgrupului unic de lichiditate, excluzând fondurile proprii și elementele extrabilanţiere, raportarea se efectuează în moneda de raportare. </w:t>
            </w:r>
          </w:p>
        </w:tc>
        <w:tc>
          <w:tcPr>
            <w:tcW w:w="1249" w:type="pct"/>
          </w:tcPr>
          <w:p w14:paraId="47D0C488" w14:textId="0D4D9D3F" w:rsidR="007A11D5" w:rsidRPr="003117B3" w:rsidRDefault="007A11D5" w:rsidP="00D278DB">
            <w:pPr>
              <w:tabs>
                <w:tab w:val="left" w:pos="1134"/>
              </w:tabs>
              <w:autoSpaceDE w:val="0"/>
              <w:autoSpaceDN w:val="0"/>
              <w:adjustRightInd w:val="0"/>
              <w:spacing w:after="0" w:line="240" w:lineRule="auto"/>
              <w:jc w:val="both"/>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lastRenderedPageBreak/>
              <w:t>6</w:t>
            </w:r>
            <w:r w:rsidR="00BA1592" w:rsidRPr="003117B3">
              <w:rPr>
                <w:rFonts w:ascii="Times New Roman" w:eastAsia="Arial Unicode MS" w:hAnsi="Times New Roman" w:cs="Times New Roman"/>
                <w:b/>
                <w:bCs/>
                <w:color w:val="000000" w:themeColor="text1"/>
                <w:vertAlign w:val="superscript"/>
                <w:lang w:val="ro-RO"/>
              </w:rPr>
              <w:t>10</w:t>
            </w:r>
            <w:r w:rsidRPr="003117B3">
              <w:rPr>
                <w:rFonts w:ascii="Times New Roman" w:eastAsia="Arial Unicode MS" w:hAnsi="Times New Roman" w:cs="Times New Roman"/>
                <w:b/>
                <w:bCs/>
                <w:color w:val="000000" w:themeColor="text1"/>
                <w:lang w:val="ro-RO"/>
              </w:rPr>
              <w:t>.</w:t>
            </w:r>
            <w:r w:rsidRPr="003117B3">
              <w:rPr>
                <w:rFonts w:ascii="Times New Roman" w:eastAsia="Arial Unicode MS" w:hAnsi="Times New Roman" w:cs="Times New Roman"/>
                <w:bCs/>
                <w:color w:val="000000" w:themeColor="text1"/>
                <w:lang w:val="ro-RO"/>
              </w:rPr>
              <w:t xml:space="preserve"> Băncile raportează separat BNM elementele menționate în titlul II și III, după cum urmează:</w:t>
            </w:r>
          </w:p>
          <w:p w14:paraId="2F10807B" w14:textId="0CFA0118" w:rsidR="007A11D5" w:rsidRPr="003117B3" w:rsidRDefault="007A11D5" w:rsidP="00D278DB">
            <w:pPr>
              <w:tabs>
                <w:tab w:val="left" w:pos="1134"/>
              </w:tabs>
              <w:autoSpaceDE w:val="0"/>
              <w:autoSpaceDN w:val="0"/>
              <w:adjustRightInd w:val="0"/>
              <w:spacing w:after="0" w:line="240" w:lineRule="auto"/>
              <w:jc w:val="both"/>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în cazul în care elementele sunt denominate într-o altă monedă decât </w:t>
            </w:r>
            <w:r w:rsidR="00F01963" w:rsidRPr="003117B3">
              <w:rPr>
                <w:rFonts w:ascii="Times New Roman" w:eastAsia="Arial Unicode MS" w:hAnsi="Times New Roman" w:cs="Times New Roman"/>
                <w:bCs/>
                <w:color w:val="000000" w:themeColor="text1"/>
                <w:lang w:val="ro-RO"/>
              </w:rPr>
              <w:t>moneda de raportare</w:t>
            </w:r>
            <w:r w:rsidRPr="003117B3">
              <w:rPr>
                <w:rFonts w:ascii="Times New Roman" w:eastAsia="Arial Unicode MS" w:hAnsi="Times New Roman" w:cs="Times New Roman"/>
                <w:bCs/>
                <w:color w:val="000000" w:themeColor="text1"/>
                <w:lang w:val="ro-RO"/>
              </w:rPr>
              <w:t xml:space="preserve"> și banca are datorii agregate denominate într-o astfel de monedă care sunt mai mari sau egale cu 5 % din datoriile totale ale băncii sau ale subgrupului unic de lichiditate, excluzând fondurile proprii și elementele extrabilanţiere</w:t>
            </w:r>
            <w:r w:rsidR="0082284D" w:rsidRPr="003117B3">
              <w:rPr>
                <w:rFonts w:ascii="Times New Roman" w:eastAsia="Arial Unicode MS" w:hAnsi="Times New Roman" w:cs="Times New Roman"/>
                <w:bCs/>
                <w:color w:val="000000" w:themeColor="text1"/>
                <w:lang w:val="ro-RO"/>
              </w:rPr>
              <w:t xml:space="preserve"> (monedă semnificativă)</w:t>
            </w:r>
            <w:r w:rsidRPr="003117B3">
              <w:rPr>
                <w:rFonts w:ascii="Times New Roman" w:eastAsia="Arial Unicode MS" w:hAnsi="Times New Roman" w:cs="Times New Roman"/>
                <w:bCs/>
                <w:color w:val="000000" w:themeColor="text1"/>
                <w:lang w:val="ro-RO"/>
              </w:rPr>
              <w:t>, raportarea se efectuează în moneda de denominare;</w:t>
            </w:r>
          </w:p>
          <w:p w14:paraId="1A5D009C" w14:textId="7864506A" w:rsidR="009C4C33" w:rsidRPr="003117B3" w:rsidRDefault="007A11D5" w:rsidP="003117B3">
            <w:pPr>
              <w:spacing w:after="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color w:val="000000" w:themeColor="text1"/>
                <w:lang w:val="ro-RO"/>
              </w:rPr>
              <w:t xml:space="preserve">2) în cazul în care elementele sunt denominate în </w:t>
            </w:r>
            <w:r w:rsidR="00F01963" w:rsidRPr="003117B3">
              <w:rPr>
                <w:rFonts w:ascii="Times New Roman" w:eastAsia="Arial Unicode MS" w:hAnsi="Times New Roman" w:cs="Times New Roman"/>
                <w:color w:val="000000" w:themeColor="text1"/>
                <w:lang w:val="ro-RO"/>
              </w:rPr>
              <w:t>moneda de raportare</w:t>
            </w:r>
            <w:r w:rsidRPr="003117B3">
              <w:rPr>
                <w:rFonts w:ascii="Times New Roman" w:eastAsia="Arial Unicode MS" w:hAnsi="Times New Roman" w:cs="Times New Roman"/>
                <w:color w:val="000000" w:themeColor="text1"/>
                <w:lang w:val="ro-RO"/>
              </w:rPr>
              <w:t xml:space="preserve"> și cuantumul agregat al datoriilor denominate în alte monede decât </w:t>
            </w:r>
            <w:r w:rsidR="00F01963" w:rsidRPr="003117B3">
              <w:rPr>
                <w:rFonts w:ascii="Times New Roman" w:eastAsia="Arial Unicode MS" w:hAnsi="Times New Roman" w:cs="Times New Roman"/>
                <w:color w:val="000000" w:themeColor="text1"/>
                <w:lang w:val="ro-RO"/>
              </w:rPr>
              <w:t>moneda de raportare</w:t>
            </w:r>
            <w:r w:rsidRPr="003117B3">
              <w:rPr>
                <w:rFonts w:ascii="Times New Roman" w:eastAsia="Arial Unicode MS" w:hAnsi="Times New Roman" w:cs="Times New Roman"/>
                <w:color w:val="000000" w:themeColor="text1"/>
                <w:lang w:val="ro-RO"/>
              </w:rPr>
              <w:t xml:space="preserve"> este mai mare sau egal cu 5 % din datoriile totale ale băncii sau ale subgrupului unic de lichiditate, excluzând fondurile proprii și elementele extrabilanţiere, raportarea se efectuează în </w:t>
            </w:r>
            <w:r w:rsidR="00F01963" w:rsidRPr="003117B3">
              <w:rPr>
                <w:rFonts w:ascii="Times New Roman" w:eastAsia="Arial Unicode MS" w:hAnsi="Times New Roman" w:cs="Times New Roman"/>
                <w:color w:val="000000" w:themeColor="text1"/>
                <w:lang w:val="ro-RO"/>
              </w:rPr>
              <w:t>moneda de raportare</w:t>
            </w:r>
            <w:r w:rsidRPr="003117B3">
              <w:rPr>
                <w:rFonts w:ascii="Times New Roman" w:eastAsia="Arial Unicode MS" w:hAnsi="Times New Roman" w:cs="Times New Roman"/>
                <w:color w:val="000000" w:themeColor="text1"/>
                <w:lang w:val="ro-RO"/>
              </w:rPr>
              <w:t>.</w:t>
            </w:r>
          </w:p>
        </w:tc>
        <w:tc>
          <w:tcPr>
            <w:tcW w:w="336" w:type="pct"/>
          </w:tcPr>
          <w:p w14:paraId="7CED2381" w14:textId="3CA4B1A8" w:rsidR="009C4C33" w:rsidRPr="003117B3" w:rsidRDefault="009A09C4"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Parțial compatibil</w:t>
            </w:r>
          </w:p>
        </w:tc>
        <w:tc>
          <w:tcPr>
            <w:tcW w:w="1153" w:type="pct"/>
          </w:tcPr>
          <w:p w14:paraId="0CE443A0" w14:textId="3B1EE087" w:rsidR="00AE223D" w:rsidRPr="003117B3" w:rsidRDefault="00AE223D" w:rsidP="00D431EF">
            <w:pPr>
              <w:spacing w:after="0"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art.415 alin.(2) astfel cum au fost modificate prin Regulamentul 2019/876 transpuse în pct.6</w:t>
            </w:r>
            <w:r w:rsidR="00C55296" w:rsidRPr="003117B3">
              <w:rPr>
                <w:rFonts w:ascii="Times New Roman" w:hAnsi="Times New Roman" w:cs="Times New Roman"/>
                <w:color w:val="000000" w:themeColor="text1"/>
                <w:vertAlign w:val="superscript"/>
                <w:lang w:val="ro-MD"/>
              </w:rPr>
              <w:t>10</w:t>
            </w:r>
            <w:r w:rsidRPr="003117B3">
              <w:rPr>
                <w:rFonts w:ascii="Times New Roman" w:hAnsi="Times New Roman" w:cs="Times New Roman"/>
                <w:color w:val="000000" w:themeColor="text1"/>
                <w:lang w:val="ro-MD"/>
              </w:rPr>
              <w:t xml:space="preserve"> din Regulamentul nr.44/2020.</w:t>
            </w:r>
          </w:p>
          <w:p w14:paraId="21B1F093" w14:textId="4B295D11" w:rsidR="009C4C33" w:rsidRPr="003117B3" w:rsidRDefault="009A09C4" w:rsidP="00D431EF">
            <w:pPr>
              <w:spacing w:after="0"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Nu au fost transpuse prevederile lit.(b) – care se referă la situații specifice UE (stat membru gazdă)</w:t>
            </w:r>
          </w:p>
          <w:p w14:paraId="30780CF7" w14:textId="2EA784A9" w:rsidR="00270873" w:rsidRPr="003117B3" w:rsidRDefault="00270873" w:rsidP="00270873">
            <w:pPr>
              <w:spacing w:after="0" w:line="276" w:lineRule="auto"/>
              <w:rPr>
                <w:rFonts w:ascii="Times New Roman" w:hAnsi="Times New Roman" w:cs="Times New Roman"/>
                <w:color w:val="000000" w:themeColor="text1"/>
                <w:lang w:val="ro-MD"/>
              </w:rPr>
            </w:pPr>
          </w:p>
        </w:tc>
        <w:tc>
          <w:tcPr>
            <w:tcW w:w="674" w:type="pct"/>
          </w:tcPr>
          <w:p w14:paraId="08963860" w14:textId="77777777" w:rsidR="009C4C33" w:rsidRPr="003117B3" w:rsidRDefault="009C4C33" w:rsidP="00D431EF">
            <w:pPr>
              <w:spacing w:line="276" w:lineRule="auto"/>
              <w:jc w:val="both"/>
              <w:rPr>
                <w:rFonts w:ascii="Times New Roman" w:hAnsi="Times New Roman" w:cs="Times New Roman"/>
                <w:b/>
                <w:color w:val="000000" w:themeColor="text1"/>
                <w:lang w:val="ro-MD"/>
              </w:rPr>
            </w:pPr>
          </w:p>
        </w:tc>
      </w:tr>
      <w:tr w:rsidR="003117B3" w:rsidRPr="003117B3" w14:paraId="68BD60A4"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95D2C3B"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(3)  </w:t>
            </w:r>
            <w:r w:rsidRPr="003117B3">
              <w:rPr>
                <w:rFonts w:ascii="Times New Roman" w:hAnsi="Times New Roman" w:cs="Times New Roman"/>
                <w:color w:val="000000" w:themeColor="text1"/>
                <w:lang w:val="ro-MD"/>
              </w:rPr>
              <w:t>ABE elaborează proiecte de standarde tehnice de punere în aplicare pentru a preciza următoarele:</w:t>
            </w:r>
          </w:p>
          <w:p w14:paraId="6676B30A"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(a) formate uniforme și soluții informatice cu instrucțiuni corespunzătoare pentru frecvențe și referințe, precum și pentru datele de transmitere. Formatele și frecvențele de raportare sunt proporționale cu natura, extinderea și complexitatea diverselor activități ale instituțiilor și includ raportarea prevăzută la alineatele (1) și (2);</w:t>
            </w:r>
          </w:p>
          <w:p w14:paraId="72BF7E24"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lastRenderedPageBreak/>
              <w:t>(b) indicatorii de monitorizare a lichidității suplimentari, necesari, care să permită autorităților competente să obțină o imagine cuprinzătoare a profilului de risc de lichiditate, în funcție de natura, extinderea și complexitatea activităților instituției;</w:t>
            </w:r>
          </w:p>
          <w:p w14:paraId="3757206B"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ABE transmite Comisiei proiectele de standarde tehnice de punere în aplicare pentru elementele menționate la litera (a) până la 28 iulie 2013, iar pentru elementele menționate la litera (b) până la 1 ianuarie 2014.</w:t>
            </w:r>
          </w:p>
          <w:p w14:paraId="61157600" w14:textId="395B586A" w:rsidR="00B060EC" w:rsidRPr="003117B3" w:rsidRDefault="00D431EF" w:rsidP="00B060EC">
            <w:pPr>
              <w:spacing w:line="276" w:lineRule="auto"/>
              <w:rPr>
                <w:rFonts w:ascii="Times New Roman" w:hAnsi="Times New Roman" w:cs="Times New Roman"/>
                <w:b/>
                <w:color w:val="000000" w:themeColor="text1"/>
                <w:lang w:val="ro-MD"/>
              </w:rPr>
            </w:pPr>
            <w:r w:rsidRPr="003117B3">
              <w:rPr>
                <w:rFonts w:ascii="Times New Roman" w:hAnsi="Times New Roman" w:cs="Times New Roman"/>
                <w:color w:val="000000" w:themeColor="text1"/>
                <w:lang w:val="ro-MD"/>
              </w:rPr>
              <w:t>Se conferă Comisiei competența de a adopta standarde tehnice de punere în aplicare menționate la primul paragraf, în conformitate cu articolul 15 din Regulamentul (UE) nr. 1093/2010.</w:t>
            </w:r>
          </w:p>
        </w:tc>
        <w:tc>
          <w:tcPr>
            <w:tcW w:w="1249" w:type="pct"/>
          </w:tcPr>
          <w:p w14:paraId="66413EA5" w14:textId="77777777" w:rsidR="004D17B9" w:rsidRPr="003117B3" w:rsidRDefault="004D17B9" w:rsidP="00262205">
            <w:pPr>
              <w:spacing w:after="0" w:line="276" w:lineRule="auto"/>
              <w:jc w:val="both"/>
              <w:rPr>
                <w:b/>
                <w:color w:val="000000" w:themeColor="text1"/>
                <w:lang w:val="it-IT"/>
              </w:rPr>
            </w:pPr>
            <w:r w:rsidRPr="003117B3">
              <w:rPr>
                <w:rFonts w:ascii="Times New Roman" w:hAnsi="Times New Roman" w:cs="Times New Roman"/>
                <w:b/>
                <w:color w:val="000000" w:themeColor="text1"/>
                <w:lang w:val="ro-MD"/>
              </w:rPr>
              <w:lastRenderedPageBreak/>
              <w:t>Secțiunea 7</w:t>
            </w:r>
            <w:r w:rsidRPr="003117B3">
              <w:rPr>
                <w:b/>
                <w:color w:val="000000" w:themeColor="text1"/>
                <w:lang w:val="it-IT"/>
              </w:rPr>
              <w:t xml:space="preserve"> </w:t>
            </w:r>
          </w:p>
          <w:p w14:paraId="650291C3" w14:textId="361FFC91" w:rsidR="004D17B9" w:rsidRPr="003117B3" w:rsidRDefault="004D17B9" w:rsidP="00262205">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Indicatori de monitorizare a lichidității suplimentari</w:t>
            </w:r>
          </w:p>
          <w:p w14:paraId="1DCF972A" w14:textId="77777777" w:rsidR="004D17B9" w:rsidRPr="003117B3" w:rsidRDefault="004D17B9" w:rsidP="00262205">
            <w:pPr>
              <w:spacing w:after="0" w:line="276" w:lineRule="auto"/>
              <w:jc w:val="both"/>
              <w:rPr>
                <w:rFonts w:ascii="Times New Roman" w:hAnsi="Times New Roman" w:cs="Times New Roman"/>
                <w:bCs/>
                <w:color w:val="000000" w:themeColor="text1"/>
                <w:lang w:val="ro-MD"/>
              </w:rPr>
            </w:pPr>
          </w:p>
          <w:p w14:paraId="65CB1204" w14:textId="6062D725" w:rsidR="004D17B9" w:rsidRPr="003117B3" w:rsidRDefault="004D17B9" w:rsidP="00262205">
            <w:pPr>
              <w:spacing w:after="0" w:line="276" w:lineRule="auto"/>
              <w:jc w:val="both"/>
              <w:rPr>
                <w:rFonts w:ascii="Times New Roman" w:hAnsi="Times New Roman" w:cs="Times New Roman"/>
                <w:bCs/>
                <w:color w:val="000000" w:themeColor="text1"/>
                <w:lang w:val="ro-MD"/>
              </w:rPr>
            </w:pPr>
            <w:r w:rsidRPr="003117B3">
              <w:rPr>
                <w:rFonts w:ascii="Times New Roman" w:hAnsi="Times New Roman" w:cs="Times New Roman"/>
                <w:bCs/>
                <w:color w:val="000000" w:themeColor="text1"/>
                <w:lang w:val="ro-MD"/>
              </w:rPr>
              <w:t>6</w:t>
            </w:r>
            <w:r w:rsidRPr="003117B3">
              <w:rPr>
                <w:rFonts w:ascii="Times New Roman" w:hAnsi="Times New Roman" w:cs="Times New Roman"/>
                <w:bCs/>
                <w:color w:val="000000" w:themeColor="text1"/>
                <w:vertAlign w:val="superscript"/>
                <w:lang w:val="ro-MD"/>
              </w:rPr>
              <w:t>11</w:t>
            </w:r>
            <w:r w:rsidRPr="003117B3">
              <w:rPr>
                <w:rFonts w:ascii="Times New Roman" w:hAnsi="Times New Roman" w:cs="Times New Roman"/>
                <w:bCs/>
                <w:color w:val="000000" w:themeColor="text1"/>
                <w:lang w:val="ro-MD"/>
              </w:rPr>
              <w:t xml:space="preserve">. Pentru a obține o imagine cuprinzătoare a profilului de risc de lichiditate, în funcție de natura, extinderea și complexitatea activităților băncii, băncile raportează la BNM </w:t>
            </w:r>
            <w:r w:rsidR="00EB43EE" w:rsidRPr="003117B3">
              <w:rPr>
                <w:rFonts w:ascii="Times New Roman" w:hAnsi="Times New Roman" w:cs="Times New Roman"/>
                <w:bCs/>
                <w:color w:val="000000" w:themeColor="text1"/>
                <w:lang w:val="ro-MD"/>
              </w:rPr>
              <w:t>lichiditatea pe benzi de scadență</w:t>
            </w:r>
            <w:r w:rsidRPr="003117B3">
              <w:rPr>
                <w:rFonts w:ascii="Times New Roman" w:hAnsi="Times New Roman" w:cs="Times New Roman"/>
                <w:bCs/>
                <w:color w:val="000000" w:themeColor="text1"/>
                <w:lang w:val="ro-MD"/>
              </w:rPr>
              <w:t xml:space="preserve"> </w:t>
            </w:r>
            <w:r w:rsidR="00EB43EE" w:rsidRPr="003117B3">
              <w:rPr>
                <w:rFonts w:ascii="Times New Roman" w:hAnsi="Times New Roman" w:cs="Times New Roman"/>
                <w:bCs/>
                <w:color w:val="000000" w:themeColor="text1"/>
                <w:lang w:val="ro-MD"/>
              </w:rPr>
              <w:t xml:space="preserve">în </w:t>
            </w:r>
            <w:r w:rsidR="00EB43EE" w:rsidRPr="003117B3">
              <w:rPr>
                <w:rFonts w:ascii="Times New Roman" w:hAnsi="Times New Roman" w:cs="Times New Roman"/>
                <w:bCs/>
                <w:color w:val="000000" w:themeColor="text1"/>
                <w:lang w:val="ro-MD"/>
              </w:rPr>
              <w:lastRenderedPageBreak/>
              <w:t xml:space="preserve">calitate de  </w:t>
            </w:r>
            <w:r w:rsidRPr="003117B3">
              <w:rPr>
                <w:rFonts w:ascii="Times New Roman" w:hAnsi="Times New Roman" w:cs="Times New Roman"/>
                <w:bCs/>
                <w:color w:val="000000" w:themeColor="text1"/>
                <w:lang w:val="ro-MD"/>
              </w:rPr>
              <w:t>indicator de monitorizare a lichidității suplimentar</w:t>
            </w:r>
            <w:r w:rsidR="00EB43EE" w:rsidRPr="003117B3">
              <w:rPr>
                <w:rFonts w:ascii="Times New Roman" w:hAnsi="Times New Roman" w:cs="Times New Roman"/>
                <w:bCs/>
                <w:color w:val="000000" w:themeColor="text1"/>
                <w:lang w:val="ro-MD"/>
              </w:rPr>
              <w:t>.</w:t>
            </w:r>
          </w:p>
          <w:p w14:paraId="0F5CBA64" w14:textId="03B0998F" w:rsidR="00D431EF" w:rsidRPr="003117B3" w:rsidRDefault="004D17B9" w:rsidP="00D278DB">
            <w:pPr>
              <w:spacing w:after="0" w:line="276" w:lineRule="auto"/>
              <w:jc w:val="both"/>
              <w:rPr>
                <w:rFonts w:ascii="Times New Roman" w:hAnsi="Times New Roman" w:cs="Times New Roman"/>
                <w:bCs/>
                <w:color w:val="000000" w:themeColor="text1"/>
                <w:lang w:val="ro-MD"/>
              </w:rPr>
            </w:pPr>
            <w:r w:rsidRPr="003117B3">
              <w:rPr>
                <w:rFonts w:ascii="Times New Roman" w:hAnsi="Times New Roman" w:cs="Times New Roman"/>
                <w:bCs/>
                <w:color w:val="000000" w:themeColor="text1"/>
                <w:lang w:val="ro-MD"/>
              </w:rPr>
              <w:t>6</w:t>
            </w:r>
            <w:r w:rsidRPr="003117B3">
              <w:rPr>
                <w:rFonts w:ascii="Times New Roman" w:hAnsi="Times New Roman" w:cs="Times New Roman"/>
                <w:bCs/>
                <w:color w:val="000000" w:themeColor="text1"/>
                <w:vertAlign w:val="superscript"/>
                <w:lang w:val="ro-MD"/>
              </w:rPr>
              <w:t>12</w:t>
            </w:r>
            <w:r w:rsidRPr="003117B3">
              <w:rPr>
                <w:rFonts w:ascii="Times New Roman" w:hAnsi="Times New Roman" w:cs="Times New Roman"/>
                <w:bCs/>
                <w:color w:val="000000" w:themeColor="text1"/>
                <w:lang w:val="ro-MD"/>
              </w:rPr>
              <w:t xml:space="preserve">. </w:t>
            </w:r>
            <w:r w:rsidR="00B86ED5" w:rsidRPr="003117B3">
              <w:rPr>
                <w:rFonts w:ascii="Times New Roman" w:hAnsi="Times New Roman" w:cs="Times New Roman"/>
                <w:bCs/>
                <w:color w:val="000000" w:themeColor="text1"/>
                <w:lang w:val="ro-MD"/>
              </w:rPr>
              <w:t>Băncile raportează</w:t>
            </w:r>
            <w:r w:rsidRPr="003117B3">
              <w:rPr>
                <w:rFonts w:ascii="Times New Roman" w:hAnsi="Times New Roman" w:cs="Times New Roman"/>
                <w:bCs/>
                <w:color w:val="000000" w:themeColor="text1"/>
                <w:lang w:val="ro-MD"/>
              </w:rPr>
              <w:t xml:space="preserve"> la BNM</w:t>
            </w:r>
            <w:r w:rsidR="0024192F" w:rsidRPr="003117B3">
              <w:rPr>
                <w:rFonts w:ascii="Times New Roman" w:eastAsia="Arial Unicode MS" w:hAnsi="Times New Roman" w:cs="Times New Roman"/>
                <w:color w:val="000000" w:themeColor="text1"/>
                <w:sz w:val="24"/>
                <w:szCs w:val="24"/>
                <w:lang w:val="ro-RO"/>
              </w:rPr>
              <w:t xml:space="preserve"> </w:t>
            </w:r>
            <w:r w:rsidR="0024192F" w:rsidRPr="003117B3">
              <w:rPr>
                <w:rFonts w:ascii="Times New Roman" w:hAnsi="Times New Roman" w:cs="Times New Roman"/>
                <w:bCs/>
                <w:color w:val="000000" w:themeColor="text1"/>
                <w:lang w:val="ro-RO"/>
              </w:rPr>
              <w:t>lichiditatea pe benzi de scadență în conformitate cu anexa nr.11</w:t>
            </w:r>
            <w:r w:rsidR="0024192F" w:rsidRPr="003117B3">
              <w:rPr>
                <w:rFonts w:ascii="Times New Roman" w:hAnsi="Times New Roman" w:cs="Times New Roman"/>
                <w:bCs/>
                <w:color w:val="000000" w:themeColor="text1"/>
                <w:vertAlign w:val="superscript"/>
                <w:lang w:val="ro-RO"/>
              </w:rPr>
              <w:t>1</w:t>
            </w:r>
            <w:r w:rsidR="0024192F" w:rsidRPr="003117B3">
              <w:rPr>
                <w:rFonts w:ascii="Times New Roman" w:hAnsi="Times New Roman" w:cs="Times New Roman"/>
                <w:bCs/>
                <w:color w:val="000000" w:themeColor="text1"/>
                <w:lang w:val="ro-RO"/>
              </w:rPr>
              <w:t xml:space="preserve"> din</w:t>
            </w:r>
            <w:r w:rsidR="00262205" w:rsidRPr="003117B3">
              <w:rPr>
                <w:rFonts w:ascii="Times New Roman" w:hAnsi="Times New Roman" w:cs="Times New Roman"/>
                <w:bCs/>
                <w:color w:val="000000" w:themeColor="text1"/>
                <w:lang w:val="ro-MD"/>
              </w:rPr>
              <w:t xml:space="preserve"> Instrucțiun</w:t>
            </w:r>
            <w:r w:rsidR="00562AA9" w:rsidRPr="003117B3">
              <w:rPr>
                <w:rFonts w:ascii="Times New Roman" w:hAnsi="Times New Roman" w:cs="Times New Roman"/>
                <w:bCs/>
                <w:color w:val="000000" w:themeColor="text1"/>
                <w:lang w:val="ro-MD"/>
              </w:rPr>
              <w:t>ea</w:t>
            </w:r>
            <w:r w:rsidR="00262205" w:rsidRPr="003117B3">
              <w:rPr>
                <w:rFonts w:ascii="Times New Roman" w:hAnsi="Times New Roman" w:cs="Times New Roman"/>
                <w:bCs/>
                <w:color w:val="000000" w:themeColor="text1"/>
                <w:lang w:val="ro-MD"/>
              </w:rPr>
              <w:t xml:space="preserve"> nr.117/2018 </w:t>
            </w:r>
            <w:r w:rsidR="0024192F" w:rsidRPr="003117B3">
              <w:rPr>
                <w:rFonts w:ascii="Times New Roman" w:hAnsi="Times New Roman" w:cs="Times New Roman"/>
                <w:bCs/>
                <w:color w:val="000000" w:themeColor="text1"/>
                <w:lang w:val="ro-RO"/>
              </w:rPr>
              <w:t>și cu frecvența stabilită în Instrucțiunea nr.117/2018</w:t>
            </w:r>
            <w:r w:rsidR="00AD1E82" w:rsidRPr="003117B3">
              <w:rPr>
                <w:rFonts w:ascii="Times New Roman" w:hAnsi="Times New Roman" w:cs="Times New Roman"/>
                <w:bCs/>
                <w:color w:val="000000" w:themeColor="text1"/>
                <w:lang w:val="ro-MD"/>
              </w:rPr>
              <w:t>.</w:t>
            </w:r>
            <w:r w:rsidR="00B86ED5" w:rsidRPr="003117B3">
              <w:rPr>
                <w:rFonts w:ascii="Times New Roman" w:hAnsi="Times New Roman" w:cs="Times New Roman"/>
                <w:bCs/>
                <w:color w:val="000000" w:themeColor="text1"/>
                <w:lang w:val="ro-MD"/>
              </w:rPr>
              <w:t xml:space="preserve"> </w:t>
            </w:r>
          </w:p>
        </w:tc>
        <w:tc>
          <w:tcPr>
            <w:tcW w:w="336" w:type="pct"/>
          </w:tcPr>
          <w:p w14:paraId="73674061" w14:textId="7CB04BDA" w:rsidR="00D431EF" w:rsidRPr="003117B3" w:rsidRDefault="005354B8"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Parțial compatibil</w:t>
            </w:r>
          </w:p>
        </w:tc>
        <w:tc>
          <w:tcPr>
            <w:tcW w:w="1153" w:type="pct"/>
          </w:tcPr>
          <w:p w14:paraId="5B1DAFF7" w14:textId="42CB54CD" w:rsidR="00D431EF" w:rsidRPr="003117B3" w:rsidRDefault="005354B8"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Transpuse </w:t>
            </w:r>
            <w:r w:rsidR="00035A87" w:rsidRPr="003117B3">
              <w:rPr>
                <w:rFonts w:ascii="Times New Roman" w:hAnsi="Times New Roman" w:cs="Times New Roman"/>
                <w:color w:val="000000" w:themeColor="text1"/>
                <w:lang w:val="ro-MD"/>
              </w:rPr>
              <w:t xml:space="preserve">parțial </w:t>
            </w:r>
            <w:r w:rsidRPr="003117B3">
              <w:rPr>
                <w:rFonts w:ascii="Times New Roman" w:hAnsi="Times New Roman" w:cs="Times New Roman"/>
                <w:color w:val="000000" w:themeColor="text1"/>
                <w:lang w:val="ro-MD"/>
              </w:rPr>
              <w:t xml:space="preserve">prevederile aferente indicatorilor de monitorizare a lichidității suplimentari. Prevederile aferente atribuțiilor  autorităților europene </w:t>
            </w:r>
            <w:r w:rsidR="00D431EF" w:rsidRPr="003117B3">
              <w:rPr>
                <w:rFonts w:ascii="Times New Roman" w:hAnsi="Times New Roman" w:cs="Times New Roman"/>
                <w:color w:val="000000" w:themeColor="text1"/>
                <w:lang w:val="ro-MD"/>
              </w:rPr>
              <w:t>se aplică statelor membre ale UE.</w:t>
            </w:r>
          </w:p>
        </w:tc>
        <w:tc>
          <w:tcPr>
            <w:tcW w:w="674" w:type="pct"/>
          </w:tcPr>
          <w:p w14:paraId="1CF471C5"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r>
      <w:tr w:rsidR="003117B3" w:rsidRPr="003117B3" w14:paraId="6D2180E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01905E6" w14:textId="77777777" w:rsidR="00B060EC" w:rsidRPr="003117B3" w:rsidRDefault="00B060EC" w:rsidP="00B060EC">
            <w:pPr>
              <w:spacing w:line="276" w:lineRule="auto"/>
              <w:rPr>
                <w:rFonts w:ascii="Times New Roman" w:hAnsi="Times New Roman" w:cs="Times New Roman"/>
                <w:color w:val="000000" w:themeColor="text1"/>
                <w:lang w:val="it-IT"/>
              </w:rPr>
            </w:pPr>
            <w:r w:rsidRPr="003117B3">
              <w:rPr>
                <w:rFonts w:ascii="Times New Roman" w:hAnsi="Times New Roman" w:cs="Times New Roman"/>
                <w:b/>
                <w:color w:val="000000" w:themeColor="text1"/>
                <w:lang w:val="it-IT"/>
              </w:rPr>
              <w:t>(</w:t>
            </w:r>
            <w:r w:rsidRPr="003117B3">
              <w:rPr>
                <w:rFonts w:ascii="Times New Roman" w:hAnsi="Times New Roman" w:cs="Times New Roman"/>
                <w:color w:val="000000" w:themeColor="text1"/>
                <w:lang w:val="it-IT"/>
              </w:rPr>
              <w:t xml:space="preserve">3a) ABE elaborează proiecte de standarde tehnice de reglementare pentru a specifica indicatorii de monitorizare a lichidităţii suplimentari, astfel cum sunt menţionaţi la alineatul (3), care se aplică pentru instituţiile mici și cu un grad redus de complexitate. </w:t>
            </w:r>
          </w:p>
          <w:p w14:paraId="7B0412CE" w14:textId="77777777" w:rsidR="00B060EC" w:rsidRPr="003117B3" w:rsidRDefault="00B060EC" w:rsidP="00B060EC">
            <w:pPr>
              <w:spacing w:line="276" w:lineRule="auto"/>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 xml:space="preserve">ABE prezintă Comisiei aceste proiecte de standarde tehnice de punere în aplicare până la 28 iunie 2020. </w:t>
            </w:r>
          </w:p>
          <w:p w14:paraId="14088A55" w14:textId="66526943" w:rsidR="00B060EC" w:rsidRPr="003117B3" w:rsidRDefault="00B060EC" w:rsidP="00B060EC">
            <w:pPr>
              <w:spacing w:line="276" w:lineRule="auto"/>
              <w:rPr>
                <w:rFonts w:ascii="Times New Roman" w:hAnsi="Times New Roman" w:cs="Times New Roman"/>
                <w:b/>
                <w:color w:val="000000" w:themeColor="text1"/>
                <w:lang w:val="ro-MD"/>
              </w:rPr>
            </w:pPr>
            <w:r w:rsidRPr="003117B3">
              <w:rPr>
                <w:rFonts w:ascii="Times New Roman" w:hAnsi="Times New Roman" w:cs="Times New Roman"/>
                <w:color w:val="000000" w:themeColor="text1"/>
                <w:lang w:val="it-IT"/>
              </w:rPr>
              <w:t>Se conferă Comisiei competenţa de a adopta standardele tehnice de punere în aplicare menţionate la primul paragraf de la prezentul alineat, în conformitate cu articolul 15 din Regulamentul (UE) nr. 1093/2010.</w:t>
            </w:r>
          </w:p>
        </w:tc>
        <w:tc>
          <w:tcPr>
            <w:tcW w:w="1249" w:type="pct"/>
          </w:tcPr>
          <w:p w14:paraId="26AF9CB2" w14:textId="77777777" w:rsidR="00B060EC" w:rsidRPr="003117B3" w:rsidRDefault="00B060EC" w:rsidP="00D431EF">
            <w:pPr>
              <w:spacing w:after="0" w:line="276" w:lineRule="auto"/>
              <w:jc w:val="both"/>
              <w:rPr>
                <w:rFonts w:ascii="Times New Roman" w:hAnsi="Times New Roman" w:cs="Times New Roman"/>
                <w:b/>
                <w:color w:val="000000" w:themeColor="text1"/>
                <w:lang w:val="ro-MD"/>
              </w:rPr>
            </w:pPr>
          </w:p>
        </w:tc>
        <w:tc>
          <w:tcPr>
            <w:tcW w:w="336" w:type="pct"/>
          </w:tcPr>
          <w:p w14:paraId="3A1B2CE2" w14:textId="29181448" w:rsidR="00B060EC" w:rsidRPr="003117B3" w:rsidRDefault="0011080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 xml:space="preserve">Nu se </w:t>
            </w:r>
            <w:r w:rsidR="00B060EC" w:rsidRPr="003117B3">
              <w:rPr>
                <w:rFonts w:ascii="Times New Roman" w:hAnsi="Times New Roman" w:cs="Times New Roman"/>
                <w:b/>
                <w:color w:val="000000" w:themeColor="text1"/>
                <w:lang w:val="ro-MD"/>
              </w:rPr>
              <w:t>transpune</w:t>
            </w:r>
          </w:p>
        </w:tc>
        <w:tc>
          <w:tcPr>
            <w:tcW w:w="1153" w:type="pct"/>
          </w:tcPr>
          <w:p w14:paraId="3F95BA3C" w14:textId="05CC408C" w:rsidR="00B060EC" w:rsidRPr="003117B3" w:rsidRDefault="00B060EC"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Se referă la instituţiile mici și cu un grad redus de complexitate</w:t>
            </w:r>
            <w:r w:rsidR="0011080F" w:rsidRPr="003117B3">
              <w:rPr>
                <w:rFonts w:ascii="Times New Roman" w:hAnsi="Times New Roman" w:cs="Times New Roman"/>
                <w:color w:val="000000" w:themeColor="text1"/>
                <w:lang w:val="ro-MD"/>
              </w:rPr>
              <w:t>.</w:t>
            </w:r>
          </w:p>
        </w:tc>
        <w:tc>
          <w:tcPr>
            <w:tcW w:w="674" w:type="pct"/>
          </w:tcPr>
          <w:p w14:paraId="6E166B5B" w14:textId="77777777" w:rsidR="00B060EC" w:rsidRPr="003117B3" w:rsidRDefault="00B060EC" w:rsidP="00D431EF">
            <w:pPr>
              <w:spacing w:line="276" w:lineRule="auto"/>
              <w:jc w:val="both"/>
              <w:rPr>
                <w:rFonts w:ascii="Times New Roman" w:hAnsi="Times New Roman" w:cs="Times New Roman"/>
                <w:b/>
                <w:color w:val="000000" w:themeColor="text1"/>
                <w:lang w:val="ro-MD"/>
              </w:rPr>
            </w:pPr>
          </w:p>
        </w:tc>
      </w:tr>
      <w:tr w:rsidR="003117B3" w:rsidRPr="003117B3" w14:paraId="04B5462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43157C2" w14:textId="77777777" w:rsidR="00D431EF" w:rsidRPr="003117B3" w:rsidRDefault="00D431EF" w:rsidP="00D431EF">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 xml:space="preserve">(4)  </w:t>
            </w:r>
            <w:r w:rsidRPr="003117B3">
              <w:rPr>
                <w:rFonts w:ascii="Times New Roman" w:hAnsi="Times New Roman" w:cs="Times New Roman"/>
                <w:color w:val="000000" w:themeColor="text1"/>
                <w:lang w:val="ro-MD"/>
              </w:rPr>
              <w:t>Autoritățile competente din statul membru de origine furnizează electronic, la cerere, autorităților competente și băncilor centrale naționale din statele membre gazdă, precum și ABE, în timp util, rapoartele individuale, în conformitate cu prezentul articol.</w:t>
            </w:r>
          </w:p>
        </w:tc>
        <w:tc>
          <w:tcPr>
            <w:tcW w:w="1249" w:type="pct"/>
          </w:tcPr>
          <w:p w14:paraId="340081B2"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336" w:type="pct"/>
          </w:tcPr>
          <w:p w14:paraId="127C69CD"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49F392AC"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Prevederea respectivă se aplică statelor membre ale UE.</w:t>
            </w:r>
          </w:p>
        </w:tc>
        <w:tc>
          <w:tcPr>
            <w:tcW w:w="674" w:type="pct"/>
          </w:tcPr>
          <w:p w14:paraId="204EA8FA"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r>
      <w:tr w:rsidR="003117B3" w:rsidRPr="003117B3" w14:paraId="527535B2"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9511D03"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(5)  </w:t>
            </w:r>
            <w:r w:rsidRPr="003117B3">
              <w:rPr>
                <w:rFonts w:ascii="Times New Roman" w:hAnsi="Times New Roman" w:cs="Times New Roman"/>
                <w:color w:val="000000" w:themeColor="text1"/>
                <w:lang w:val="ro-MD"/>
              </w:rPr>
              <w:t>Autoritățile competente care exercită supravegherea pe bază consolidată, în conformitate cu articolul 111 din Directiva 2013/36/UE, furnizează electronic, cu promptitudine, la cerere, autorităților menționate mai jos, toate rapoartele transmise de instituție, în conformitate cu formatele uniforme de raportare menționate la alineatul (3):</w:t>
            </w:r>
          </w:p>
          <w:p w14:paraId="77D2C391"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lastRenderedPageBreak/>
              <w:t>(a) autoritățile competente și băncile centrale naționale din statele membre gazdă în care se află sucursale semnificative, astfel cum sunt definite la articolul 51 din Directiva 2013/36/UE, ale instituției-mamă sau ale instituțiilor controlate de aceeași societate financiară holding-mamă;</w:t>
            </w:r>
          </w:p>
          <w:p w14:paraId="6BA59CD1"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(b) autoritățile competente care au autorizat filiale ale instituției-mamă sau ale instituțiilor controlate de aceeași societate financiară holding-mamă și banca centrală din același stat membru;</w:t>
            </w:r>
          </w:p>
          <w:p w14:paraId="4B7DE39A"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(c) ABE;</w:t>
            </w:r>
          </w:p>
          <w:p w14:paraId="37917784" w14:textId="77777777" w:rsidR="00D431EF" w:rsidRPr="003117B3" w:rsidRDefault="00D431EF" w:rsidP="00D431EF">
            <w:pPr>
              <w:spacing w:line="276" w:lineRule="auto"/>
              <w:rPr>
                <w:rFonts w:ascii="Times New Roman" w:hAnsi="Times New Roman" w:cs="Times New Roman"/>
                <w:b/>
                <w:color w:val="000000" w:themeColor="text1"/>
                <w:lang w:val="ro-MD"/>
              </w:rPr>
            </w:pPr>
            <w:r w:rsidRPr="003117B3">
              <w:rPr>
                <w:rFonts w:ascii="Times New Roman" w:hAnsi="Times New Roman" w:cs="Times New Roman"/>
                <w:color w:val="000000" w:themeColor="text1"/>
                <w:lang w:val="ro-MD"/>
              </w:rPr>
              <w:t>(d) BCE.</w:t>
            </w:r>
          </w:p>
        </w:tc>
        <w:tc>
          <w:tcPr>
            <w:tcW w:w="1249" w:type="pct"/>
          </w:tcPr>
          <w:p w14:paraId="62A2E45C"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336" w:type="pct"/>
          </w:tcPr>
          <w:p w14:paraId="1E1F7C5C"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38F28E38"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Prevederea respectivă se aplică statelor membre ale UE.</w:t>
            </w:r>
          </w:p>
        </w:tc>
        <w:tc>
          <w:tcPr>
            <w:tcW w:w="674" w:type="pct"/>
          </w:tcPr>
          <w:p w14:paraId="4C46C80B"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r>
      <w:tr w:rsidR="003117B3" w:rsidRPr="003117B3" w14:paraId="4F6490F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14D9799" w14:textId="5A8CA527" w:rsidR="00D431EF" w:rsidRPr="003117B3" w:rsidRDefault="00D431EF" w:rsidP="00D431EF">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 xml:space="preserve">(6)  </w:t>
            </w:r>
            <w:r w:rsidRPr="003117B3">
              <w:rPr>
                <w:rFonts w:ascii="Times New Roman" w:hAnsi="Times New Roman" w:cs="Times New Roman"/>
                <w:color w:val="000000" w:themeColor="text1"/>
                <w:lang w:val="ro-MD"/>
              </w:rPr>
              <w:t xml:space="preserve">Autoritățile competente care au autorizat o instituție care este o filială a unei instituții-mamă sau a unei societăți financiare holding-mamă furnizează electronic, cu promptitudine, la cerere, autorităților competente care exercită supravegherea pe bază consolidată, în conformitate cu articolul 111 din Directiva 2013/36/UE, băncii centrale din statul membru în care instituția este autorizată și ABE toate rapoartele transmise de instituție în conformitate </w:t>
            </w:r>
            <w:r w:rsidRPr="003117B3">
              <w:rPr>
                <w:rFonts w:ascii="Times New Roman" w:hAnsi="Times New Roman" w:cs="Times New Roman"/>
                <w:color w:val="000000" w:themeColor="text1"/>
                <w:lang w:val="ro-MD"/>
              </w:rPr>
              <w:lastRenderedPageBreak/>
              <w:t>cu formatele uniforme de raportare menționate la alineatul (3).</w:t>
            </w:r>
          </w:p>
        </w:tc>
        <w:tc>
          <w:tcPr>
            <w:tcW w:w="1249" w:type="pct"/>
          </w:tcPr>
          <w:p w14:paraId="68BD94A2" w14:textId="77777777" w:rsidR="00D431EF" w:rsidRPr="003117B3" w:rsidRDefault="00D431EF" w:rsidP="00D431EF">
            <w:pPr>
              <w:spacing w:after="0" w:line="276" w:lineRule="auto"/>
              <w:jc w:val="both"/>
              <w:rPr>
                <w:rFonts w:ascii="Times New Roman" w:hAnsi="Times New Roman" w:cs="Times New Roman"/>
                <w:b/>
                <w:color w:val="000000" w:themeColor="text1"/>
                <w:lang w:val="ro-MD"/>
              </w:rPr>
            </w:pPr>
          </w:p>
        </w:tc>
        <w:tc>
          <w:tcPr>
            <w:tcW w:w="336" w:type="pct"/>
          </w:tcPr>
          <w:p w14:paraId="4BFBF2B4" w14:textId="77777777" w:rsidR="00D431EF" w:rsidRPr="003117B3" w:rsidRDefault="00D431EF"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1B9AB3CB"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Prevederea respectivă se aplică statelor membre ale UE.</w:t>
            </w:r>
          </w:p>
        </w:tc>
        <w:tc>
          <w:tcPr>
            <w:tcW w:w="674" w:type="pct"/>
          </w:tcPr>
          <w:p w14:paraId="18F02267"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r>
      <w:tr w:rsidR="003117B3" w:rsidRPr="003117B3" w14:paraId="1F6BB66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FDB30A2" w14:textId="2BE8379D" w:rsidR="00D431EF" w:rsidRPr="003117B3" w:rsidRDefault="0050752C" w:rsidP="00D431EF">
            <w:pPr>
              <w:spacing w:after="0" w:line="276" w:lineRule="auto"/>
              <w:jc w:val="both"/>
              <w:rPr>
                <w:rFonts w:ascii="Times New Roman" w:hAnsi="Times New Roman" w:cs="Times New Roman"/>
                <w:b/>
                <w:color w:val="000000" w:themeColor="text1"/>
              </w:rPr>
            </w:pPr>
            <w:r w:rsidRPr="003117B3">
              <w:rPr>
                <w:rFonts w:ascii="Times New Roman" w:hAnsi="Times New Roman" w:cs="Times New Roman"/>
                <w:b/>
                <w:color w:val="000000" w:themeColor="text1"/>
                <w:lang w:val="ro-MD"/>
              </w:rPr>
              <w:t>Art.416-426</w:t>
            </w:r>
          </w:p>
        </w:tc>
        <w:tc>
          <w:tcPr>
            <w:tcW w:w="1249" w:type="pct"/>
          </w:tcPr>
          <w:p w14:paraId="56E58FB7" w14:textId="77777777" w:rsidR="00D431EF" w:rsidRPr="003117B3" w:rsidRDefault="00D431EF" w:rsidP="00D431EF">
            <w:pPr>
              <w:spacing w:after="0" w:line="276" w:lineRule="auto"/>
              <w:rPr>
                <w:rFonts w:ascii="Times New Roman" w:hAnsi="Times New Roman" w:cs="Times New Roman"/>
                <w:color w:val="000000" w:themeColor="text1"/>
                <w:lang w:val="ro-MD"/>
              </w:rPr>
            </w:pPr>
          </w:p>
        </w:tc>
        <w:tc>
          <w:tcPr>
            <w:tcW w:w="336" w:type="pct"/>
          </w:tcPr>
          <w:p w14:paraId="3FC749A7"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c>
          <w:tcPr>
            <w:tcW w:w="1153" w:type="pct"/>
          </w:tcPr>
          <w:p w14:paraId="5B617444" w14:textId="77777777" w:rsidR="00D431EF" w:rsidRPr="003117B3" w:rsidRDefault="00D431EF" w:rsidP="00D431EF">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art.416-426 CRR nu au fost transpuse, dat fiind că prevederile aferente cerinței necesarului de lichiditate au fost specificate în detaliu în Regulamentul delegat 2015/61 (a se vedea tabelul de concordanță a proiectului Regulamentului privind cerințele de lichiditate pentru bănci cu Regulamentul delegat 2015/61)</w:t>
            </w:r>
          </w:p>
        </w:tc>
        <w:tc>
          <w:tcPr>
            <w:tcW w:w="674" w:type="pct"/>
          </w:tcPr>
          <w:p w14:paraId="44B6446C" w14:textId="77777777" w:rsidR="00D431EF" w:rsidRPr="003117B3" w:rsidRDefault="00D431EF" w:rsidP="00D431EF">
            <w:pPr>
              <w:spacing w:line="276" w:lineRule="auto"/>
              <w:jc w:val="both"/>
              <w:rPr>
                <w:rFonts w:ascii="Times New Roman" w:hAnsi="Times New Roman" w:cs="Times New Roman"/>
                <w:b/>
                <w:color w:val="000000" w:themeColor="text1"/>
                <w:lang w:val="ro-MD"/>
              </w:rPr>
            </w:pPr>
          </w:p>
        </w:tc>
      </w:tr>
      <w:tr w:rsidR="003117B3" w:rsidRPr="003117B3" w14:paraId="7AD7FAF4" w14:textId="77777777" w:rsidTr="00D2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3"/>
        </w:trPr>
        <w:tc>
          <w:tcPr>
            <w:tcW w:w="1588" w:type="pct"/>
            <w:shd w:val="clear" w:color="auto" w:fill="auto"/>
          </w:tcPr>
          <w:p w14:paraId="2F505F30" w14:textId="01D56B8D" w:rsidR="005A389D" w:rsidRPr="003117B3" w:rsidRDefault="005A389D" w:rsidP="006B7CBB">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b/>
                <w:color w:val="000000" w:themeColor="text1"/>
                <w:lang w:val="it-IT"/>
              </w:rPr>
              <w:t>Art.41</w:t>
            </w:r>
            <w:r w:rsidR="006B7CBB" w:rsidRPr="003117B3">
              <w:rPr>
                <w:rFonts w:ascii="Times New Roman" w:hAnsi="Times New Roman" w:cs="Times New Roman"/>
                <w:b/>
                <w:color w:val="000000" w:themeColor="text1"/>
                <w:lang w:val="it-IT"/>
              </w:rPr>
              <w:t>6</w:t>
            </w:r>
            <w:r w:rsidRPr="003117B3">
              <w:rPr>
                <w:rFonts w:ascii="Times New Roman" w:hAnsi="Times New Roman" w:cs="Times New Roman"/>
                <w:b/>
                <w:color w:val="000000" w:themeColor="text1"/>
                <w:lang w:val="it-IT"/>
              </w:rPr>
              <w:t>- 426</w:t>
            </w:r>
            <w:r w:rsidRPr="003117B3">
              <w:rPr>
                <w:rFonts w:ascii="Times New Roman" w:hAnsi="Times New Roman" w:cs="Times New Roman"/>
                <w:color w:val="000000" w:themeColor="text1"/>
                <w:lang w:val="it-IT"/>
              </w:rPr>
              <w:t xml:space="preserve"> prevederi aferente monitorizării LCR </w:t>
            </w:r>
          </w:p>
        </w:tc>
        <w:tc>
          <w:tcPr>
            <w:tcW w:w="1249" w:type="pct"/>
          </w:tcPr>
          <w:p w14:paraId="39608463" w14:textId="77777777" w:rsidR="005A389D" w:rsidRPr="003117B3" w:rsidRDefault="005A389D" w:rsidP="00D431EF">
            <w:pPr>
              <w:spacing w:after="0" w:line="276" w:lineRule="auto"/>
              <w:rPr>
                <w:rFonts w:ascii="Times New Roman" w:hAnsi="Times New Roman" w:cs="Times New Roman"/>
                <w:color w:val="000000" w:themeColor="text1"/>
                <w:lang w:val="ro-MD"/>
              </w:rPr>
            </w:pPr>
          </w:p>
        </w:tc>
        <w:tc>
          <w:tcPr>
            <w:tcW w:w="336" w:type="pct"/>
          </w:tcPr>
          <w:p w14:paraId="46C39C89" w14:textId="77777777" w:rsidR="005A389D" w:rsidRPr="003117B3" w:rsidRDefault="005A389D" w:rsidP="00D431EF">
            <w:pPr>
              <w:spacing w:line="276" w:lineRule="auto"/>
              <w:jc w:val="both"/>
              <w:rPr>
                <w:rFonts w:ascii="Times New Roman" w:hAnsi="Times New Roman" w:cs="Times New Roman"/>
                <w:b/>
                <w:color w:val="000000" w:themeColor="text1"/>
                <w:lang w:val="ro-MD"/>
              </w:rPr>
            </w:pPr>
          </w:p>
        </w:tc>
        <w:tc>
          <w:tcPr>
            <w:tcW w:w="1153" w:type="pct"/>
          </w:tcPr>
          <w:p w14:paraId="5959140D" w14:textId="77777777" w:rsidR="005A389D" w:rsidRPr="003117B3" w:rsidRDefault="005A389D" w:rsidP="00D431EF">
            <w:pPr>
              <w:spacing w:line="276" w:lineRule="auto"/>
              <w:rPr>
                <w:rFonts w:ascii="Times New Roman" w:hAnsi="Times New Roman" w:cs="Times New Roman"/>
                <w:color w:val="000000" w:themeColor="text1"/>
                <w:lang w:val="ro-MD"/>
              </w:rPr>
            </w:pPr>
          </w:p>
        </w:tc>
        <w:tc>
          <w:tcPr>
            <w:tcW w:w="674" w:type="pct"/>
          </w:tcPr>
          <w:p w14:paraId="49632039" w14:textId="77777777" w:rsidR="005A389D" w:rsidRPr="003117B3" w:rsidRDefault="005A389D" w:rsidP="00D431EF">
            <w:pPr>
              <w:spacing w:line="276" w:lineRule="auto"/>
              <w:jc w:val="both"/>
              <w:rPr>
                <w:rFonts w:ascii="Times New Roman" w:hAnsi="Times New Roman" w:cs="Times New Roman"/>
                <w:b/>
                <w:color w:val="000000" w:themeColor="text1"/>
                <w:lang w:val="ro-MD"/>
              </w:rPr>
            </w:pPr>
          </w:p>
        </w:tc>
      </w:tr>
      <w:tr w:rsidR="003117B3" w:rsidRPr="003117B3" w14:paraId="542A698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997189E" w14:textId="77777777" w:rsidR="00F23EBF" w:rsidRPr="003117B3" w:rsidRDefault="00F23EBF" w:rsidP="00F23EBF">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TITLUL III</w:t>
            </w:r>
          </w:p>
          <w:p w14:paraId="449847C8" w14:textId="77777777" w:rsidR="00F23EBF" w:rsidRPr="003117B3" w:rsidRDefault="00F23EBF" w:rsidP="00F23EBF">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RAPORTĂRI PRIVIND FINANŢAREA STABILĂ</w:t>
            </w:r>
          </w:p>
          <w:p w14:paraId="21068A17" w14:textId="77777777" w:rsidR="00F23EBF" w:rsidRPr="003117B3" w:rsidRDefault="00F23EBF" w:rsidP="00F23EBF">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427</w:t>
            </w:r>
          </w:p>
          <w:p w14:paraId="12EC644F" w14:textId="77777777" w:rsidR="00F23EBF" w:rsidRPr="003117B3" w:rsidRDefault="00F23EBF" w:rsidP="00F23EBF">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Elemente care furnizează o finanţare stabilă</w:t>
            </w:r>
          </w:p>
          <w:p w14:paraId="62BF17CF" w14:textId="77777777" w:rsidR="005A389D"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(1) Instituţiile raportează autorităţilor competente, în conformitate cu cerinţele de raportare stabilite la articolul 415 alineatul (1) și cu formatele uniforme de raportare menţionate la articolul 415 alineatul </w:t>
            </w:r>
            <w:r w:rsidRPr="003117B3">
              <w:rPr>
                <w:rFonts w:ascii="Times New Roman" w:hAnsi="Times New Roman" w:cs="Times New Roman"/>
                <w:color w:val="000000" w:themeColor="text1"/>
                <w:lang w:val="it-IT"/>
              </w:rPr>
              <w:lastRenderedPageBreak/>
              <w:t>(3), următoarele elemente și componentele acestora pentru a permite evaluarea disponibilităţii unei finanţări stabile:</w:t>
            </w:r>
          </w:p>
          <w:p w14:paraId="3C4C9E1C"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fondurile proprii după deduceri, după caz;</w:t>
            </w:r>
          </w:p>
          <w:p w14:paraId="625A7FA5"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instrumente de fonduri proprii de nivel 1</w:t>
            </w:r>
          </w:p>
          <w:p w14:paraId="44DFD739"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instrumente de fonduri proprii de nivel 2</w:t>
            </w:r>
          </w:p>
          <w:p w14:paraId="5A509054"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(iii) alte acţiuni preferenţiale și instrumente de capital care depășesc nivelul permis al fondurilor proprii de nivel 2, cu o scadenţă efectivă de cel puţin un an;</w:t>
            </w:r>
          </w:p>
          <w:p w14:paraId="5FBDD290"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următoarele datorii neincluse la litera (a)</w:t>
            </w:r>
          </w:p>
          <w:p w14:paraId="1043B54F"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depozitele retail care se califică pentru tratamentul prevăzut la articolul 421 alineatul (1);</w:t>
            </w:r>
          </w:p>
          <w:p w14:paraId="108F46C2"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depozitele retail care se califică pentru tratamentul prevăzut la articolul 421 alineatul (2);</w:t>
            </w:r>
          </w:p>
          <w:p w14:paraId="639A36A6"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(iii) depozitele care se califică pentru tratamentul prevăzut la articolul 422 alineatele (3) și (4);</w:t>
            </w:r>
          </w:p>
          <w:p w14:paraId="2E2F64A8"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(iv) dintre depozitele menţionate la punctul (iii), cele care sunt acoperite de o schemă de garantare a depozitelor în conformitate cu Directiva 94/19/CE sau de o schemă echivalentă de garantare a depozitelor a unei ţări terţe în sensul articolului 421 alineatul (1);</w:t>
            </w:r>
          </w:p>
          <w:p w14:paraId="6B355F83"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(v) dintre depozitele de la punctul (iii), cele care se încadrează la articolul 422 alineatul (34) litera (b);</w:t>
            </w:r>
          </w:p>
          <w:p w14:paraId="799E26AA"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(vi) dintre depozitele de la punctul (iii), cele care se încadrează la articolul 422 alineatul (3) litera (d);</w:t>
            </w:r>
          </w:p>
          <w:p w14:paraId="433E2E2F"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(vii) sumele depuse care nu se încadrează la punctele (i), (ii) sau (iii), în cazul în care nu sunt depuse de clienţi financiari;</w:t>
            </w:r>
          </w:p>
          <w:p w14:paraId="437EA69A"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(viii) toate fondurile obţinute de la clienţi financiari;</w:t>
            </w:r>
          </w:p>
          <w:p w14:paraId="6CCA4081"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(ix) separat pentru sumele care se încadrează la punctele (vi) și, respectiv, (vii), fondurile din tranzacţii de creditare garantată și operaţiuni ajustate la condiţiile pieţei de capital, astfel cum sunt definite la articolul 192 punctul 3:</w:t>
            </w:r>
          </w:p>
          <w:p w14:paraId="2619778C" w14:textId="77777777" w:rsidR="00F23EBF" w:rsidRPr="003117B3" w:rsidRDefault="00F23EBF" w:rsidP="00F23EBF">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 garantate cu active care s-ar califica drept active lichide conform articolului 416;</w:t>
            </w:r>
          </w:p>
          <w:p w14:paraId="3A0BF1E1"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garantate cu orice alte active; ▼M10</w:t>
            </w:r>
          </w:p>
          <w:p w14:paraId="1891B179"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(x) datoriile rezultate din titluri emise care se califică pentru tratamentul prevăzut la articolul 129 alineatul (4) sau (5) din prezentul regulament sau din obligaţiuni garantate în sensul definiţiei de la articolul 3 punctul 1 din Directiva (UE) 2019/2162;</w:t>
            </w:r>
          </w:p>
          <w:p w14:paraId="08F37D5A"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(xi) alte datorii rezultate din titluri emise, care nu se încadrează la litera (a)</w:t>
            </w:r>
          </w:p>
          <w:p w14:paraId="001CAADC"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datorii rezultate din titluri emise care au un termen de scadenţă efectivă de cel puţin un an;</w:t>
            </w:r>
          </w:p>
          <w:p w14:paraId="66D36022"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 datorii rezultate din titluri emise care au un termen de scadenţă efectivă de mai puţin de un an;</w:t>
            </w:r>
          </w:p>
          <w:p w14:paraId="6DBDAB08" w14:textId="5D8BF42F" w:rsidR="00F23EBF" w:rsidRPr="003117B3" w:rsidRDefault="00F23EBF" w:rsidP="00F23EBF">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(xii) orice alte datorii.</w:t>
            </w:r>
          </w:p>
        </w:tc>
        <w:tc>
          <w:tcPr>
            <w:tcW w:w="1249" w:type="pct"/>
          </w:tcPr>
          <w:p w14:paraId="205738B6" w14:textId="77777777" w:rsidR="005A389D" w:rsidRPr="003117B3" w:rsidRDefault="005A389D" w:rsidP="00D431EF">
            <w:pPr>
              <w:spacing w:after="0" w:line="276" w:lineRule="auto"/>
              <w:rPr>
                <w:rFonts w:ascii="Times New Roman" w:hAnsi="Times New Roman" w:cs="Times New Roman"/>
                <w:color w:val="000000" w:themeColor="text1"/>
                <w:lang w:val="ro-MD"/>
              </w:rPr>
            </w:pPr>
          </w:p>
        </w:tc>
        <w:tc>
          <w:tcPr>
            <w:tcW w:w="336" w:type="pct"/>
          </w:tcPr>
          <w:p w14:paraId="4D2759AF" w14:textId="206854A8" w:rsidR="005A389D" w:rsidRPr="003117B3" w:rsidRDefault="006B7CBB" w:rsidP="00D431EF">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79A877EC" w14:textId="24E429DA" w:rsidR="005A389D" w:rsidRPr="003117B3" w:rsidRDefault="006B7CBB" w:rsidP="006B7CBB">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Titlul III ține de raportarea finanțării stabile</w:t>
            </w:r>
            <w:r w:rsidR="00B71D4C" w:rsidRPr="003117B3">
              <w:rPr>
                <w:rFonts w:ascii="Times New Roman" w:hAnsi="Times New Roman" w:cs="Times New Roman"/>
                <w:color w:val="000000" w:themeColor="text1"/>
                <w:lang w:val="ro-MD"/>
              </w:rPr>
              <w:t xml:space="preserve"> în scopul stabilirii cerinței</w:t>
            </w:r>
            <w:r w:rsidRPr="003117B3">
              <w:rPr>
                <w:rFonts w:ascii="Times New Roman" w:hAnsi="Times New Roman" w:cs="Times New Roman"/>
                <w:color w:val="000000" w:themeColor="text1"/>
                <w:lang w:val="ro-MD"/>
              </w:rPr>
              <w:t xml:space="preserve"> NSFR</w:t>
            </w:r>
          </w:p>
        </w:tc>
        <w:tc>
          <w:tcPr>
            <w:tcW w:w="674" w:type="pct"/>
          </w:tcPr>
          <w:p w14:paraId="4F0D8169" w14:textId="77777777" w:rsidR="005A389D" w:rsidRPr="003117B3" w:rsidRDefault="005A389D" w:rsidP="00D431EF">
            <w:pPr>
              <w:spacing w:line="276" w:lineRule="auto"/>
              <w:jc w:val="both"/>
              <w:rPr>
                <w:rFonts w:ascii="Times New Roman" w:hAnsi="Times New Roman" w:cs="Times New Roman"/>
                <w:b/>
                <w:color w:val="000000" w:themeColor="text1"/>
                <w:lang w:val="ro-MD"/>
              </w:rPr>
            </w:pPr>
          </w:p>
        </w:tc>
      </w:tr>
      <w:tr w:rsidR="003117B3" w:rsidRPr="003117B3" w14:paraId="5C336AE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7E99692"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(2) Unde este cazul, toate elementele se prezintă grupate în următoarele cinci benzi de scadenţă, în funcţie de cea mai apropiată dintre data de scadenţă a lor și data cea mai apropiată la care devin exigibile prin contract:</w:t>
            </w:r>
          </w:p>
          <w:p w14:paraId="374231D6"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în termen de trei luni;</w:t>
            </w:r>
          </w:p>
          <w:p w14:paraId="017EAD92"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între 3-6 luni;</w:t>
            </w:r>
          </w:p>
          <w:p w14:paraId="73D570CF"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între 6-9 luni;</w:t>
            </w:r>
          </w:p>
          <w:p w14:paraId="5E55ACEF" w14:textId="77777777" w:rsidR="00F23EBF" w:rsidRPr="003117B3" w:rsidRDefault="00F23EBF" w:rsidP="00F23EBF">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 între 9-12 luni;</w:t>
            </w:r>
          </w:p>
          <w:p w14:paraId="423A08AD" w14:textId="17D83C3F" w:rsidR="00F23EBF" w:rsidRPr="003117B3" w:rsidRDefault="00F23EBF" w:rsidP="00F23EBF">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color w:val="000000" w:themeColor="text1"/>
                <w:lang w:val="it-IT"/>
              </w:rPr>
              <w:t>(e) peste 12 luni.</w:t>
            </w:r>
          </w:p>
        </w:tc>
        <w:tc>
          <w:tcPr>
            <w:tcW w:w="1249" w:type="pct"/>
          </w:tcPr>
          <w:p w14:paraId="476BAA1E" w14:textId="77777777" w:rsidR="00F23EBF" w:rsidRPr="003117B3" w:rsidRDefault="00F23EBF" w:rsidP="00D431EF">
            <w:pPr>
              <w:spacing w:after="0" w:line="276" w:lineRule="auto"/>
              <w:rPr>
                <w:rFonts w:ascii="Times New Roman" w:hAnsi="Times New Roman" w:cs="Times New Roman"/>
                <w:color w:val="000000" w:themeColor="text1"/>
                <w:lang w:val="ro-MD"/>
              </w:rPr>
            </w:pPr>
          </w:p>
        </w:tc>
        <w:tc>
          <w:tcPr>
            <w:tcW w:w="336" w:type="pct"/>
          </w:tcPr>
          <w:p w14:paraId="086A0F80" w14:textId="77777777" w:rsidR="00F23EBF" w:rsidRPr="003117B3" w:rsidRDefault="00F23EBF" w:rsidP="00D431EF">
            <w:pPr>
              <w:spacing w:line="276" w:lineRule="auto"/>
              <w:jc w:val="both"/>
              <w:rPr>
                <w:rFonts w:ascii="Times New Roman" w:hAnsi="Times New Roman" w:cs="Times New Roman"/>
                <w:b/>
                <w:color w:val="000000" w:themeColor="text1"/>
                <w:lang w:val="ro-MD"/>
              </w:rPr>
            </w:pPr>
          </w:p>
        </w:tc>
        <w:tc>
          <w:tcPr>
            <w:tcW w:w="1153" w:type="pct"/>
          </w:tcPr>
          <w:p w14:paraId="67E169BB" w14:textId="77777777" w:rsidR="00F23EBF" w:rsidRPr="003117B3" w:rsidRDefault="00F23EBF" w:rsidP="00D431EF">
            <w:pPr>
              <w:spacing w:line="276" w:lineRule="auto"/>
              <w:rPr>
                <w:rFonts w:ascii="Times New Roman" w:hAnsi="Times New Roman" w:cs="Times New Roman"/>
                <w:color w:val="000000" w:themeColor="text1"/>
                <w:lang w:val="ro-MD"/>
              </w:rPr>
            </w:pPr>
          </w:p>
        </w:tc>
        <w:tc>
          <w:tcPr>
            <w:tcW w:w="674" w:type="pct"/>
          </w:tcPr>
          <w:p w14:paraId="4DA208AB" w14:textId="77777777" w:rsidR="00F23EBF" w:rsidRPr="003117B3" w:rsidRDefault="00F23EBF" w:rsidP="00D431EF">
            <w:pPr>
              <w:spacing w:line="276" w:lineRule="auto"/>
              <w:jc w:val="both"/>
              <w:rPr>
                <w:rFonts w:ascii="Times New Roman" w:hAnsi="Times New Roman" w:cs="Times New Roman"/>
                <w:b/>
                <w:color w:val="000000" w:themeColor="text1"/>
                <w:lang w:val="ro-MD"/>
              </w:rPr>
            </w:pPr>
          </w:p>
        </w:tc>
      </w:tr>
      <w:tr w:rsidR="003117B3" w:rsidRPr="003117B3" w14:paraId="15C4976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6E58AA2"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w:t>
            </w:r>
          </w:p>
          <w:p w14:paraId="1F0445C4"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Elemente care necesită o finanţare stabilă</w:t>
            </w:r>
          </w:p>
          <w:p w14:paraId="01F52CAD"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(1) Cu excepţia cazului în care sunt deduse din fondurile proprii, următoarele elemente trebuie raportate autorităţilor competente separat pentru a permite evaluarea necesităţilor de finanţare stabilă:</w:t>
            </w:r>
          </w:p>
          <w:p w14:paraId="35BF8C5D"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activele care s-ar califica drept active lichide conform articolului 416, defalcate în funcţie de tipul de activ;</w:t>
            </w:r>
          </w:p>
          <w:p w14:paraId="1078A960"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titlurile și instrumentele pieţei monetare neincluse la litera (a);</w:t>
            </w:r>
          </w:p>
          <w:p w14:paraId="00068D56"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(i) activele care se încadrează la nivelul 1de calitate a creditului în conformitate cu articolul 122;</w:t>
            </w:r>
          </w:p>
          <w:p w14:paraId="1668DE55"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activele care se încadrează la nivelul 2 de calitate a creditului în conformitate cu articolul 122;</w:t>
            </w:r>
          </w:p>
          <w:p w14:paraId="50261E4C"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(iii) alte active.</w:t>
            </w:r>
          </w:p>
          <w:p w14:paraId="616532AD"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titlurile de capital ale entităţilor nefinanciare, componente ale unui indice principal al unei burse recunoscute;</w:t>
            </w:r>
          </w:p>
          <w:p w14:paraId="02560226"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 alte titluri de capital;</w:t>
            </w:r>
          </w:p>
          <w:p w14:paraId="389D237A"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(e) aur;</w:t>
            </w:r>
          </w:p>
          <w:p w14:paraId="162B1BA9"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(f) alte metale preţioase;</w:t>
            </w:r>
          </w:p>
          <w:p w14:paraId="0EB82D61"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(g) credite și creanţe neîncasate, defalcându-le dintre acestea pe cele ale următoarelor tipuri de debitori:</w:t>
            </w:r>
          </w:p>
          <w:p w14:paraId="4AB1A9CB"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persoane fizice altele decât comercianţi și asociaţii în participaţie;</w:t>
            </w:r>
          </w:p>
          <w:p w14:paraId="1CCBBC7F"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IMM-uri care se califică pentru clasa de expuneri de tip retail în temeiul abordării standardizate sau al abordării IRB privind riscul de credit sau la o societate care este eligibilă pentru tratamentul menţionat la articolul 148 alineatul (4), dacă depozitele agregate plasate de respectivul client sau grup de clienţi aflaţi în legătură nu depășește 1 milion EUR;</w:t>
            </w:r>
          </w:p>
          <w:p w14:paraId="4F0B0F41"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(iii) entităţi suverane, bănci centrale și entităţi din sectorul public;</w:t>
            </w:r>
          </w:p>
          <w:p w14:paraId="76551683"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(iv) clienţi nemenţionaţi la punctele (i) și (ii) care nu sunt clienţi financiari;</w:t>
            </w:r>
          </w:p>
          <w:p w14:paraId="394DA0FE"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(v) clienţi nemenţionaţi la punctele (i), (ii) și (iii) care sunt clienţi financiari, separat de cei care sunt instituţii de credit și alţi clienţi financiari;</w:t>
            </w:r>
          </w:p>
          <w:p w14:paraId="7225FE6C"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(h) credite și creanţe nereînnoibile menţionate la litera (g), considerându-le separat pe cele care sunt:</w:t>
            </w:r>
          </w:p>
          <w:p w14:paraId="369E6062"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garantate cu bunuri imobile comerciale (BIC);</w:t>
            </w:r>
          </w:p>
          <w:p w14:paraId="74E45FD9"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garantate cu bunuri imobile locative (BIL); ▼M10</w:t>
            </w:r>
          </w:p>
          <w:p w14:paraId="519FA9B8"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(iii) finanţate în mod echivalent printr-o finanţare de tip „pass- through” prin obligaţiuni care sunt eligibile pentru tratamentul prevăzut la articolul 129 alineatul (4) sau (5) din prezentul regulament sau prin obligaţiuni garantate de tipul celor menţionate la articolul 3 punctul 1 din Directiva (UE) 2019/2162; </w:t>
            </w:r>
          </w:p>
          <w:p w14:paraId="783DF646" w14:textId="73F6797D"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▼C2</w:t>
            </w:r>
          </w:p>
          <w:p w14:paraId="7C1DD1BD"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sume de primit aferente instrumentelor financiare derivate;</w:t>
            </w:r>
          </w:p>
          <w:p w14:paraId="1F0438AC"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(j) orice alte active;</w:t>
            </w:r>
          </w:p>
          <w:p w14:paraId="033C5935" w14:textId="650A36E8"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(k) facilităţi de credit angajate neutilizate care pot fi considerate de „risc mediu” sau „risc moderat” conform anexei I.</w:t>
            </w:r>
          </w:p>
        </w:tc>
        <w:tc>
          <w:tcPr>
            <w:tcW w:w="1249" w:type="pct"/>
          </w:tcPr>
          <w:p w14:paraId="3D370B1D" w14:textId="77777777" w:rsidR="0095772A" w:rsidRPr="003117B3" w:rsidRDefault="0095772A" w:rsidP="0095772A">
            <w:pPr>
              <w:spacing w:after="0" w:line="276" w:lineRule="auto"/>
              <w:rPr>
                <w:rFonts w:ascii="Times New Roman" w:hAnsi="Times New Roman" w:cs="Times New Roman"/>
                <w:color w:val="000000" w:themeColor="text1"/>
                <w:lang w:val="ro-MD"/>
              </w:rPr>
            </w:pPr>
          </w:p>
        </w:tc>
        <w:tc>
          <w:tcPr>
            <w:tcW w:w="336" w:type="pct"/>
          </w:tcPr>
          <w:p w14:paraId="03B22E9C" w14:textId="5B04DA77" w:rsidR="0095772A" w:rsidRPr="003117B3" w:rsidRDefault="0095772A"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65B2BD55" w14:textId="643DF8BF" w:rsidR="0095772A" w:rsidRPr="003117B3" w:rsidRDefault="0095772A" w:rsidP="0095772A">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Titlul III ține de raportarea finanțării stabile în scopul stabilirii cerinței NSFR</w:t>
            </w:r>
          </w:p>
        </w:tc>
        <w:tc>
          <w:tcPr>
            <w:tcW w:w="674" w:type="pct"/>
          </w:tcPr>
          <w:p w14:paraId="15165B98"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7E181C74"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505ACAE" w14:textId="2FCCF61B"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color w:val="000000" w:themeColor="text1"/>
                <w:lang w:val="it-IT"/>
              </w:rPr>
              <w:lastRenderedPageBreak/>
              <w:t>(2) Unde este cazul, toate elementele se prezintă grupate în cele cinci categorii descrise la articolul 427 alineatul (2).</w:t>
            </w:r>
          </w:p>
        </w:tc>
        <w:tc>
          <w:tcPr>
            <w:tcW w:w="1249" w:type="pct"/>
          </w:tcPr>
          <w:p w14:paraId="55BE6740" w14:textId="77777777" w:rsidR="0095772A" w:rsidRPr="003117B3" w:rsidRDefault="0095772A" w:rsidP="0095772A">
            <w:pPr>
              <w:spacing w:after="0" w:line="276" w:lineRule="auto"/>
              <w:rPr>
                <w:rFonts w:ascii="Times New Roman" w:hAnsi="Times New Roman" w:cs="Times New Roman"/>
                <w:color w:val="000000" w:themeColor="text1"/>
                <w:lang w:val="ro-MD"/>
              </w:rPr>
            </w:pPr>
          </w:p>
        </w:tc>
        <w:tc>
          <w:tcPr>
            <w:tcW w:w="336" w:type="pct"/>
          </w:tcPr>
          <w:p w14:paraId="048BEC81"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c>
          <w:tcPr>
            <w:tcW w:w="1153" w:type="pct"/>
          </w:tcPr>
          <w:p w14:paraId="06FCB3B5"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2786EBFD"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41ABE3C7"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24F60AE"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▼M8</w:t>
            </w:r>
          </w:p>
          <w:p w14:paraId="3A3C98C0"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TITLUL IV</w:t>
            </w:r>
          </w:p>
          <w:p w14:paraId="41BCD7AB"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INDICATORUL DE FINANŢARE STABILĂ NETĂ</w:t>
            </w:r>
          </w:p>
          <w:p w14:paraId="04AA8468"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CAPITOLUL 1</w:t>
            </w:r>
          </w:p>
          <w:p w14:paraId="1CA62F9F"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Indicatorul de finanţare stabilă netă</w:t>
            </w:r>
          </w:p>
          <w:p w14:paraId="2E7DB630"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428a</w:t>
            </w:r>
          </w:p>
          <w:p w14:paraId="27C31798"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Aplicarea pe bază consolidată</w:t>
            </w:r>
          </w:p>
          <w:p w14:paraId="64679222"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În cazul în care indicatorul de finanţare stabilă netă prevăzut în prezentul titlu se aplică pe o bază consolidată în conformitate cu articolul 11 alineatul (4), se aplică următoarele dispoziţii:</w:t>
            </w:r>
          </w:p>
          <w:p w14:paraId="6AFF280C"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 activele și elementele extrabilanţiere ale unei filiale cu sediul social într-o ţară terţă, cărora li se aplică factori de finanţare stabilă necesară în temeiul cerinţei de finanţare stabilă netă prevăzute de legislaţia naţională a ţării terţe respective care sunt mai ridicaţi decât cei menţionaţi în capitolul 4, fac obiectul consolidării în conformitate cu factorii </w:t>
            </w:r>
            <w:r w:rsidRPr="003117B3">
              <w:rPr>
                <w:rFonts w:ascii="Times New Roman" w:hAnsi="Times New Roman" w:cs="Times New Roman"/>
                <w:color w:val="000000" w:themeColor="text1"/>
                <w:lang w:val="it-IT"/>
              </w:rPr>
              <w:lastRenderedPageBreak/>
              <w:t>mai ridicaţi prevăzuţi de legislaţia naţională a ţării terţe respective;</w:t>
            </w:r>
          </w:p>
          <w:p w14:paraId="59B036E4"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datoriile și fondurile proprii ale unei filiale cu sediul social într-o ţară terţă, cărora li se aplică factori de finanţare stabilă disponibilă în temeiul cerinţei de finanţare stabilă netă prevăzute de legislaţia naţională a ţării terţe respective care sunt mai scăzuţi decât cei menţionaţi în capitolul 3, fac obiectul consolidării în conformitate cu factorii mai scăzuţi prevăzuţi de legislaţia naţională a ţării terţe respective;</w:t>
            </w:r>
          </w:p>
          <w:p w14:paraId="1240E934" w14:textId="24687DA4" w:rsidR="0095772A" w:rsidRPr="003117B3" w:rsidRDefault="0095772A" w:rsidP="007C7B76">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(c) activele dintr-o ţară terţă care îndeplinesc cerinţele prevăzute în actul delegat menţionat la articolul 460 alineatul (1) și care sunt deţinute de o filială cu sediul social într-o ţară terţă nu sunt recunoscute ca active lichide în vederea consolidării în cazul în care nu îndeplinesc condiţiile necesare pentru a fi considerate active lichide în temeiul legislaţiei naţionale a ţării terţe respective care stabilește cerinţa de acoperire a necesarului de lichiditate; </w:t>
            </w:r>
          </w:p>
        </w:tc>
        <w:tc>
          <w:tcPr>
            <w:tcW w:w="1249" w:type="pct"/>
          </w:tcPr>
          <w:p w14:paraId="65175E0B" w14:textId="7CF9B31C" w:rsidR="0095772A" w:rsidRPr="003117B3" w:rsidRDefault="0095772A" w:rsidP="0095772A">
            <w:pPr>
              <w:spacing w:after="0" w:line="240" w:lineRule="auto"/>
              <w:rPr>
                <w:rFonts w:ascii="Times New Roman" w:eastAsia="Arial Unicode MS" w:hAnsi="Times New Roman" w:cs="Times New Roman"/>
                <w:color w:val="000000" w:themeColor="text1"/>
                <w:lang w:val="ro-RO"/>
              </w:rPr>
            </w:pPr>
            <w:r w:rsidRPr="003117B3">
              <w:rPr>
                <w:rFonts w:ascii="Times New Roman" w:eastAsia="Arial Unicode MS" w:hAnsi="Times New Roman" w:cs="Times New Roman"/>
                <w:color w:val="000000" w:themeColor="text1"/>
                <w:lang w:val="ro-RO"/>
              </w:rPr>
              <w:lastRenderedPageBreak/>
              <w:t>3</w:t>
            </w:r>
            <w:r w:rsidRPr="003117B3">
              <w:rPr>
                <w:rFonts w:ascii="Times New Roman" w:eastAsia="Arial Unicode MS" w:hAnsi="Times New Roman" w:cs="Times New Roman"/>
                <w:color w:val="000000" w:themeColor="text1"/>
                <w:vertAlign w:val="superscript"/>
                <w:lang w:val="ro-RO"/>
              </w:rPr>
              <w:t>1</w:t>
            </w:r>
            <w:r w:rsidRPr="003117B3">
              <w:rPr>
                <w:rFonts w:ascii="Times New Roman" w:eastAsia="Arial Unicode MS" w:hAnsi="Times New Roman" w:cs="Times New Roman"/>
                <w:color w:val="000000" w:themeColor="text1"/>
                <w:lang w:val="ro-RO"/>
              </w:rPr>
              <w:t>. În cazul în care indicatorul de finanţare stabilă netă prevăzut în titlul III se aplică pe o bază consolidată în conformitate Regulamentul nr.101/2020</w:t>
            </w:r>
            <w:r w:rsidR="00187701" w:rsidRPr="003117B3">
              <w:rPr>
                <w:rFonts w:ascii="Times New Roman" w:eastAsia="Arial Unicode MS" w:hAnsi="Times New Roman" w:cs="Times New Roman"/>
                <w:color w:val="000000" w:themeColor="text1"/>
                <w:lang w:val="ro-RO"/>
              </w:rPr>
              <w:t xml:space="preserve"> </w:t>
            </w:r>
            <w:r w:rsidRPr="003117B3">
              <w:rPr>
                <w:rFonts w:ascii="Times New Roman" w:eastAsia="Arial Unicode MS" w:hAnsi="Times New Roman" w:cs="Times New Roman"/>
                <w:color w:val="000000" w:themeColor="text1"/>
                <w:lang w:val="ro-RO"/>
              </w:rPr>
              <w:t>se aplică următoarele dispoziţii:</w:t>
            </w:r>
          </w:p>
          <w:p w14:paraId="4C7FC54E" w14:textId="1259327C" w:rsidR="0095772A" w:rsidRPr="003117B3" w:rsidRDefault="0095772A" w:rsidP="0095772A">
            <w:pPr>
              <w:spacing w:after="0" w:line="240" w:lineRule="auto"/>
              <w:rPr>
                <w:rFonts w:ascii="Times New Roman" w:eastAsia="Arial Unicode MS" w:hAnsi="Times New Roman" w:cs="Times New Roman"/>
                <w:color w:val="000000" w:themeColor="text1"/>
                <w:lang w:val="ro-RO"/>
              </w:rPr>
            </w:pPr>
            <w:r w:rsidRPr="003117B3">
              <w:rPr>
                <w:rFonts w:ascii="Times New Roman" w:eastAsia="Arial Unicode MS" w:hAnsi="Times New Roman" w:cs="Times New Roman"/>
                <w:color w:val="000000" w:themeColor="text1"/>
                <w:lang w:val="ro-RO"/>
              </w:rPr>
              <w:t xml:space="preserve">1) activele și elementele extrabilanțiere ale unei filiale cu sediul </w:t>
            </w:r>
            <w:r w:rsidR="00187701" w:rsidRPr="003117B3">
              <w:rPr>
                <w:rFonts w:ascii="Times New Roman" w:eastAsia="Arial Unicode MS" w:hAnsi="Times New Roman" w:cs="Times New Roman"/>
                <w:color w:val="000000" w:themeColor="text1"/>
                <w:lang w:val="ro-RO"/>
              </w:rPr>
              <w:t xml:space="preserve">central </w:t>
            </w:r>
            <w:r w:rsidRPr="003117B3">
              <w:rPr>
                <w:rFonts w:ascii="Times New Roman" w:eastAsia="Arial Unicode MS" w:hAnsi="Times New Roman" w:cs="Times New Roman"/>
                <w:color w:val="000000" w:themeColor="text1"/>
                <w:lang w:val="ro-RO"/>
              </w:rPr>
              <w:t>într-un alt stat, cărora li se aplică factori de finanțare stabilă necesară în temeiul cerinței de finanțare stabilă netă prevăzute de legislația națională a statului respectiv care sunt mai ridicați dec</w:t>
            </w:r>
            <w:r w:rsidR="00E4124F" w:rsidRPr="003117B3">
              <w:rPr>
                <w:rFonts w:ascii="Times New Roman" w:eastAsia="Arial Unicode MS" w:hAnsi="Times New Roman" w:cs="Times New Roman"/>
                <w:color w:val="000000" w:themeColor="text1"/>
                <w:lang w:val="ro-RO"/>
              </w:rPr>
              <w:t>ât cei menționați în capitolul III</w:t>
            </w:r>
            <w:r w:rsidR="00A528CB" w:rsidRPr="003117B3">
              <w:rPr>
                <w:rFonts w:ascii="Times New Roman" w:eastAsia="Arial Unicode MS" w:hAnsi="Times New Roman" w:cs="Times New Roman"/>
                <w:color w:val="000000" w:themeColor="text1"/>
                <w:lang w:val="ro-RO"/>
              </w:rPr>
              <w:t>,</w:t>
            </w:r>
            <w:r w:rsidRPr="003117B3">
              <w:rPr>
                <w:rFonts w:ascii="Times New Roman" w:eastAsia="Arial Unicode MS" w:hAnsi="Times New Roman" w:cs="Times New Roman"/>
                <w:color w:val="000000" w:themeColor="text1"/>
                <w:lang w:val="ro-RO"/>
              </w:rPr>
              <w:t xml:space="preserve"> titlul III, fac obiectul consolidării în conformitate cu factorii mai ridicați prevăzuți de legislația națională a statului respectiv; </w:t>
            </w:r>
          </w:p>
          <w:p w14:paraId="5CC11E19" w14:textId="02F27586" w:rsidR="0095772A" w:rsidRPr="003117B3" w:rsidRDefault="0095772A" w:rsidP="00D278DB">
            <w:pPr>
              <w:spacing w:after="0" w:line="240" w:lineRule="auto"/>
              <w:rPr>
                <w:rFonts w:ascii="Times New Roman" w:eastAsia="Arial Unicode MS" w:hAnsi="Times New Roman" w:cs="Times New Roman"/>
                <w:color w:val="000000" w:themeColor="text1"/>
                <w:lang w:val="ro-RO"/>
              </w:rPr>
            </w:pPr>
            <w:r w:rsidRPr="003117B3">
              <w:rPr>
                <w:rFonts w:ascii="Times New Roman" w:eastAsia="Arial Unicode MS" w:hAnsi="Times New Roman" w:cs="Times New Roman"/>
                <w:color w:val="000000" w:themeColor="text1"/>
                <w:lang w:val="ro-RO"/>
              </w:rPr>
              <w:t xml:space="preserve">2) datoriile și fondurile proprii ale unei filiale cu sediul </w:t>
            </w:r>
            <w:r w:rsidR="00187701" w:rsidRPr="003117B3">
              <w:rPr>
                <w:rFonts w:ascii="Times New Roman" w:eastAsia="Arial Unicode MS" w:hAnsi="Times New Roman" w:cs="Times New Roman"/>
                <w:color w:val="000000" w:themeColor="text1"/>
                <w:lang w:val="ro-RO"/>
              </w:rPr>
              <w:t>central</w:t>
            </w:r>
            <w:r w:rsidRPr="003117B3">
              <w:rPr>
                <w:rFonts w:ascii="Times New Roman" w:eastAsia="Arial Unicode MS" w:hAnsi="Times New Roman" w:cs="Times New Roman"/>
                <w:color w:val="000000" w:themeColor="text1"/>
                <w:lang w:val="ro-RO"/>
              </w:rPr>
              <w:t xml:space="preserve"> într-un alt stat, cărora li se aplică factori de finanțare stabilă disponibilă în temeiul cerinței </w:t>
            </w:r>
            <w:r w:rsidRPr="003117B3">
              <w:rPr>
                <w:rFonts w:ascii="Times New Roman" w:eastAsia="Arial Unicode MS" w:hAnsi="Times New Roman" w:cs="Times New Roman"/>
                <w:color w:val="000000" w:themeColor="text1"/>
                <w:lang w:val="ro-RO"/>
              </w:rPr>
              <w:lastRenderedPageBreak/>
              <w:t>de finanțare stabilă netă prevăzute de legislația națională a statului respectiv care sunt mai scăzuți dec</w:t>
            </w:r>
            <w:r w:rsidR="00E4124F" w:rsidRPr="003117B3">
              <w:rPr>
                <w:rFonts w:ascii="Times New Roman" w:eastAsia="Arial Unicode MS" w:hAnsi="Times New Roman" w:cs="Times New Roman"/>
                <w:color w:val="000000" w:themeColor="text1"/>
                <w:lang w:val="ro-RO"/>
              </w:rPr>
              <w:t>ât cei menționați în capitolul II</w:t>
            </w:r>
            <w:r w:rsidR="00A528CB" w:rsidRPr="003117B3">
              <w:rPr>
                <w:rFonts w:ascii="Times New Roman" w:eastAsia="Arial Unicode MS" w:hAnsi="Times New Roman" w:cs="Times New Roman"/>
                <w:color w:val="000000" w:themeColor="text1"/>
                <w:lang w:val="ro-RO"/>
              </w:rPr>
              <w:t>,</w:t>
            </w:r>
            <w:r w:rsidRPr="003117B3">
              <w:rPr>
                <w:rFonts w:ascii="Times New Roman" w:eastAsia="Arial Unicode MS" w:hAnsi="Times New Roman" w:cs="Times New Roman"/>
                <w:color w:val="000000" w:themeColor="text1"/>
                <w:lang w:val="ro-RO"/>
              </w:rPr>
              <w:t xml:space="preserve"> titlul III, fac obiectul consolidării în conformitate cu factorii mai scăzuți prevăzuți de legislația națională a statului respectiv; </w:t>
            </w:r>
          </w:p>
          <w:p w14:paraId="5F3F1F2B" w14:textId="2CE2C037" w:rsidR="0095772A" w:rsidRPr="003117B3" w:rsidRDefault="0095772A" w:rsidP="007C7B76">
            <w:pPr>
              <w:spacing w:after="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color w:val="000000" w:themeColor="text1"/>
                <w:lang w:val="ro-RO"/>
              </w:rPr>
              <w:t xml:space="preserve">3) activele dintr-un alt stat care îndeplinesc cerințele prevăzute în titlul II și care sunt deținute de o filială cu sediul </w:t>
            </w:r>
            <w:r w:rsidR="00187701" w:rsidRPr="003117B3">
              <w:rPr>
                <w:rFonts w:ascii="Times New Roman" w:eastAsia="Arial Unicode MS" w:hAnsi="Times New Roman" w:cs="Times New Roman"/>
                <w:color w:val="000000" w:themeColor="text1"/>
                <w:lang w:val="ro-RO"/>
              </w:rPr>
              <w:t>central</w:t>
            </w:r>
            <w:r w:rsidRPr="003117B3">
              <w:rPr>
                <w:rFonts w:ascii="Times New Roman" w:eastAsia="Arial Unicode MS" w:hAnsi="Times New Roman" w:cs="Times New Roman"/>
                <w:color w:val="000000" w:themeColor="text1"/>
                <w:lang w:val="ro-RO"/>
              </w:rPr>
              <w:t xml:space="preserve"> într-un alt stat nu sunt recunoscute ca active lichide în vederea consolidării în cazul în care nu îndeplinesc condițiile necesare pentru a fi considerate active lichide în temeiul legislației naționale a statului respectiv care stabilește cerința de acoperire a necesarului de lichiditate.</w:t>
            </w:r>
          </w:p>
        </w:tc>
        <w:tc>
          <w:tcPr>
            <w:tcW w:w="336" w:type="pct"/>
          </w:tcPr>
          <w:p w14:paraId="139BA611" w14:textId="01BE4CE8" w:rsidR="0095772A" w:rsidRPr="003117B3" w:rsidRDefault="0095772A"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553E8DCD" w14:textId="6E783C06"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5BD2D114"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31616D02"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4A3A47A"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▼M8</w:t>
            </w:r>
          </w:p>
          <w:p w14:paraId="04E9ABE6"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Articolul 428b</w:t>
            </w:r>
          </w:p>
          <w:p w14:paraId="13744649"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Indicatorul de finanţare stabilă netă</w:t>
            </w:r>
          </w:p>
          <w:p w14:paraId="1C542881" w14:textId="57A8B6B9" w:rsidR="0095772A" w:rsidRPr="003117B3" w:rsidRDefault="0095772A" w:rsidP="007C7B76">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(1) Cerinţa de finanţare stabilă netă prevăzută la articolul 413 alineatul (1) este egală cu raportul dintre finanţarea stabilă disponibilă a instituţiei, astfel cum este menţionată în capitolul 3, și finanţarea stabilă necesară, astfel cum este menţionată în capitolul 4 și se exprimă ca procent. Instituţiile își calculează indicatorul de finanţare stabilă netă în conformitate cu următoarea formulă: Finanţarea stabilă disponibilă /Finanţarea stabilă necesară = Indicatorul de finanţare stabilă netă (%)</w:t>
            </w:r>
          </w:p>
        </w:tc>
        <w:tc>
          <w:tcPr>
            <w:tcW w:w="1249" w:type="pct"/>
          </w:tcPr>
          <w:p w14:paraId="3C6B0A83" w14:textId="77777777" w:rsidR="00B8386F" w:rsidRPr="003117B3" w:rsidRDefault="00B8386F" w:rsidP="00B8386F">
            <w:pPr>
              <w:autoSpaceDE w:val="0"/>
              <w:autoSpaceDN w:val="0"/>
              <w:adjustRightInd w:val="0"/>
              <w:spacing w:after="120" w:line="240" w:lineRule="auto"/>
              <w:jc w:val="center"/>
              <w:rPr>
                <w:rFonts w:ascii="Times New Roman" w:eastAsia="Times New Roman" w:hAnsi="Times New Roman" w:cs="Times New Roman"/>
                <w:b/>
                <w:bCs/>
                <w:color w:val="000000" w:themeColor="text1"/>
                <w:lang w:val="ro-RO"/>
              </w:rPr>
            </w:pPr>
            <w:r w:rsidRPr="003117B3">
              <w:rPr>
                <w:rFonts w:ascii="Times New Roman" w:eastAsia="Times New Roman" w:hAnsi="Times New Roman" w:cs="Times New Roman"/>
                <w:b/>
                <w:bCs/>
                <w:color w:val="000000" w:themeColor="text1"/>
                <w:lang w:val="ro-RO"/>
              </w:rPr>
              <w:lastRenderedPageBreak/>
              <w:t>TITLUL III</w:t>
            </w:r>
          </w:p>
          <w:p w14:paraId="6F719735" w14:textId="717F08E5" w:rsidR="00B8386F" w:rsidRPr="003117B3" w:rsidRDefault="00B8386F" w:rsidP="00B8386F">
            <w:pPr>
              <w:autoSpaceDE w:val="0"/>
              <w:autoSpaceDN w:val="0"/>
              <w:adjustRightInd w:val="0"/>
              <w:spacing w:after="120" w:line="240" w:lineRule="auto"/>
              <w:jc w:val="center"/>
              <w:rPr>
                <w:rFonts w:ascii="Times New Roman" w:eastAsia="Times New Roman" w:hAnsi="Times New Roman" w:cs="Times New Roman"/>
                <w:b/>
                <w:bCs/>
                <w:color w:val="000000" w:themeColor="text1"/>
                <w:lang w:val="ro-RO"/>
              </w:rPr>
            </w:pPr>
            <w:r w:rsidRPr="003117B3">
              <w:rPr>
                <w:rFonts w:ascii="Times New Roman" w:eastAsia="Times New Roman" w:hAnsi="Times New Roman" w:cs="Times New Roman"/>
                <w:b/>
                <w:bCs/>
                <w:color w:val="000000" w:themeColor="text1"/>
                <w:lang w:val="ro-RO"/>
              </w:rPr>
              <w:t>INDICATORUL DE FINANŢARE STABILĂ NETĂ</w:t>
            </w:r>
          </w:p>
          <w:p w14:paraId="0400F9CB" w14:textId="7AA6E379" w:rsidR="0095772A" w:rsidRPr="003117B3" w:rsidRDefault="0095772A" w:rsidP="0095772A">
            <w:pPr>
              <w:autoSpaceDE w:val="0"/>
              <w:autoSpaceDN w:val="0"/>
              <w:adjustRightInd w:val="0"/>
              <w:spacing w:after="120" w:line="240" w:lineRule="auto"/>
              <w:jc w:val="center"/>
              <w:rPr>
                <w:rFonts w:ascii="Times New Roman" w:eastAsia="Times New Roman" w:hAnsi="Times New Roman" w:cs="Times New Roman"/>
                <w:b/>
                <w:bCs/>
                <w:color w:val="000000" w:themeColor="text1"/>
                <w:lang w:val="ro-RO"/>
              </w:rPr>
            </w:pPr>
            <w:r w:rsidRPr="003117B3">
              <w:rPr>
                <w:rFonts w:ascii="Times New Roman" w:eastAsia="Times New Roman" w:hAnsi="Times New Roman" w:cs="Times New Roman"/>
                <w:b/>
                <w:bCs/>
                <w:color w:val="000000" w:themeColor="text1"/>
                <w:lang w:val="ro-RO"/>
              </w:rPr>
              <w:lastRenderedPageBreak/>
              <w:t>Capitolul I</w:t>
            </w:r>
          </w:p>
          <w:p w14:paraId="347B8B9B" w14:textId="1C6224F8" w:rsidR="0095772A" w:rsidRPr="003117B3" w:rsidRDefault="0095772A" w:rsidP="0095772A">
            <w:pPr>
              <w:autoSpaceDE w:val="0"/>
              <w:autoSpaceDN w:val="0"/>
              <w:adjustRightInd w:val="0"/>
              <w:spacing w:after="120" w:line="240" w:lineRule="auto"/>
              <w:jc w:val="center"/>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 xml:space="preserve">INDICATORUL DE FINANŢARE STABILĂ  </w:t>
            </w:r>
            <w:r w:rsidR="00B8386F" w:rsidRPr="003117B3">
              <w:rPr>
                <w:rFonts w:ascii="Times New Roman" w:eastAsia="Arial Unicode MS" w:hAnsi="Times New Roman" w:cs="Times New Roman"/>
                <w:b/>
                <w:bCs/>
                <w:color w:val="000000" w:themeColor="text1"/>
                <w:lang w:val="ro-RO"/>
              </w:rPr>
              <w:t xml:space="preserve">NETĂ </w:t>
            </w:r>
            <w:r w:rsidRPr="003117B3">
              <w:rPr>
                <w:rFonts w:ascii="Times New Roman" w:eastAsia="Arial Unicode MS" w:hAnsi="Times New Roman" w:cs="Times New Roman"/>
                <w:b/>
                <w:bCs/>
                <w:color w:val="000000" w:themeColor="text1"/>
                <w:lang w:val="ro-RO"/>
              </w:rPr>
              <w:t>ȘI NORME GENERALE PENTRU CALCULAREA INDICATORULUI DE FINANŢARE STABILĂ NETĂ</w:t>
            </w:r>
            <w:r w:rsidRPr="003117B3">
              <w:rPr>
                <w:rFonts w:ascii="Times New Roman" w:eastAsia="Arial Unicode MS" w:hAnsi="Times New Roman" w:cs="Times New Roman"/>
                <w:bCs/>
                <w:color w:val="000000" w:themeColor="text1"/>
                <w:lang w:val="ro-RO"/>
              </w:rPr>
              <w:t xml:space="preserve"> </w:t>
            </w:r>
          </w:p>
          <w:p w14:paraId="43436CFF" w14:textId="19672173" w:rsidR="0095772A" w:rsidRPr="003117B3" w:rsidRDefault="0095772A" w:rsidP="00D278DB">
            <w:pPr>
              <w:tabs>
                <w:tab w:val="left" w:pos="265"/>
              </w:tabs>
              <w:spacing w:after="120" w:line="240" w:lineRule="auto"/>
              <w:rPr>
                <w:rFonts w:ascii="Times New Roman" w:eastAsia="Calibri" w:hAnsi="Times New Roman" w:cs="Times New Roman"/>
                <w:iCs/>
                <w:color w:val="000000" w:themeColor="text1"/>
                <w:lang w:val="ro-RO"/>
              </w:rPr>
            </w:pPr>
            <w:r w:rsidRPr="003117B3">
              <w:rPr>
                <w:rFonts w:ascii="Times New Roman" w:eastAsia="Arial Unicode MS" w:hAnsi="Times New Roman" w:cs="Times New Roman"/>
                <w:b/>
                <w:bCs/>
                <w:color w:val="000000" w:themeColor="text1"/>
                <w:lang w:val="ro-RO"/>
              </w:rPr>
              <w:t xml:space="preserve">Secțiunea 1. Indicatorul de finanţare stabilă  </w:t>
            </w:r>
            <w:r w:rsidR="00B8386F" w:rsidRPr="003117B3">
              <w:rPr>
                <w:rFonts w:ascii="Times New Roman" w:eastAsia="Arial Unicode MS" w:hAnsi="Times New Roman" w:cs="Times New Roman"/>
                <w:b/>
                <w:bCs/>
                <w:color w:val="000000" w:themeColor="text1"/>
                <w:lang w:val="ro-RO"/>
              </w:rPr>
              <w:t>netă</w:t>
            </w:r>
          </w:p>
          <w:p w14:paraId="6C5CDACD" w14:textId="2A934B2E" w:rsidR="0095772A" w:rsidRPr="003117B3" w:rsidRDefault="0095772A" w:rsidP="0095772A">
            <w:pPr>
              <w:tabs>
                <w:tab w:val="left" w:pos="1134"/>
              </w:tabs>
              <w:jc w:val="both"/>
              <w:rPr>
                <w:rFonts w:ascii="Times New Roman" w:eastAsia="Calibri" w:hAnsi="Times New Roman" w:cs="Times New Roman"/>
                <w:iCs/>
                <w:color w:val="000000" w:themeColor="text1"/>
                <w:lang w:val="ro-RO"/>
              </w:rPr>
            </w:pPr>
            <w:r w:rsidRPr="003117B3">
              <w:rPr>
                <w:rFonts w:ascii="Times New Roman" w:eastAsia="Calibri" w:hAnsi="Times New Roman" w:cs="Times New Roman"/>
                <w:iCs/>
                <w:color w:val="000000" w:themeColor="text1"/>
                <w:lang w:val="ro-RO"/>
              </w:rPr>
              <w:t>109</w:t>
            </w:r>
            <w:r w:rsidRPr="003117B3">
              <w:rPr>
                <w:rFonts w:ascii="Times New Roman" w:eastAsia="Calibri" w:hAnsi="Times New Roman" w:cs="Times New Roman"/>
                <w:iCs/>
                <w:color w:val="000000" w:themeColor="text1"/>
                <w:vertAlign w:val="superscript"/>
                <w:lang w:val="ro-RO"/>
              </w:rPr>
              <w:t>1</w:t>
            </w:r>
            <w:r w:rsidRPr="003117B3">
              <w:rPr>
                <w:rFonts w:ascii="Times New Roman" w:eastAsia="Calibri" w:hAnsi="Times New Roman" w:cs="Times New Roman"/>
                <w:iCs/>
                <w:color w:val="000000" w:themeColor="text1"/>
                <w:lang w:val="ro-RO"/>
              </w:rPr>
              <w:t xml:space="preserve">. Cerinţa de finanţare stabilă netă prevăzută la </w:t>
            </w:r>
            <w:r w:rsidR="009C709A" w:rsidRPr="003117B3">
              <w:rPr>
                <w:rFonts w:ascii="Times New Roman" w:eastAsia="Calibri" w:hAnsi="Times New Roman" w:cs="Times New Roman"/>
                <w:iCs/>
                <w:color w:val="000000" w:themeColor="text1"/>
                <w:lang w:val="ro-RO"/>
              </w:rPr>
              <w:t>secțiunea 4, titlul I</w:t>
            </w:r>
            <w:r w:rsidRPr="003117B3">
              <w:rPr>
                <w:rFonts w:ascii="Times New Roman" w:eastAsia="Calibri" w:hAnsi="Times New Roman" w:cs="Times New Roman"/>
                <w:iCs/>
                <w:color w:val="000000" w:themeColor="text1"/>
                <w:lang w:val="ro-RO"/>
              </w:rPr>
              <w:t xml:space="preserve"> este </w:t>
            </w:r>
            <w:r w:rsidR="00B8386F" w:rsidRPr="003117B3">
              <w:rPr>
                <w:rFonts w:ascii="Times New Roman" w:eastAsia="Calibri" w:hAnsi="Times New Roman" w:cs="Times New Roman"/>
                <w:iCs/>
                <w:color w:val="000000" w:themeColor="text1"/>
                <w:lang w:val="ro-RO"/>
              </w:rPr>
              <w:t>exprimată ca</w:t>
            </w:r>
            <w:r w:rsidRPr="003117B3">
              <w:rPr>
                <w:rFonts w:ascii="Times New Roman" w:eastAsia="Calibri" w:hAnsi="Times New Roman" w:cs="Times New Roman"/>
                <w:iCs/>
                <w:color w:val="000000" w:themeColor="text1"/>
                <w:lang w:val="ro-RO"/>
              </w:rPr>
              <w:t xml:space="preserve"> raportul dintre finanţarea stabilă disponibilă a băncii, astfel cum este menţionată în capitolul </w:t>
            </w:r>
            <w:r w:rsidR="009C709A" w:rsidRPr="003117B3">
              <w:rPr>
                <w:rFonts w:ascii="Times New Roman" w:eastAsia="Calibri" w:hAnsi="Times New Roman" w:cs="Times New Roman"/>
                <w:iCs/>
                <w:color w:val="000000" w:themeColor="text1"/>
                <w:lang w:val="ro-RO"/>
              </w:rPr>
              <w:t>II din prezentul titlu</w:t>
            </w:r>
            <w:r w:rsidRPr="003117B3">
              <w:rPr>
                <w:rFonts w:ascii="Times New Roman" w:eastAsia="Calibri" w:hAnsi="Times New Roman" w:cs="Times New Roman"/>
                <w:iCs/>
                <w:color w:val="000000" w:themeColor="text1"/>
                <w:lang w:val="ro-RO"/>
              </w:rPr>
              <w:t>, și finanţarea stabilă necesară, astfel cu</w:t>
            </w:r>
            <w:r w:rsidR="009C709A" w:rsidRPr="003117B3">
              <w:rPr>
                <w:rFonts w:ascii="Times New Roman" w:eastAsia="Calibri" w:hAnsi="Times New Roman" w:cs="Times New Roman"/>
                <w:iCs/>
                <w:color w:val="000000" w:themeColor="text1"/>
                <w:lang w:val="ro-RO"/>
              </w:rPr>
              <w:t>m este menţionată în capitolul III</w:t>
            </w:r>
            <w:r w:rsidR="009C709A" w:rsidRPr="003117B3">
              <w:rPr>
                <w:rFonts w:ascii="Times New Roman" w:hAnsi="Times New Roman" w:cs="Times New Roman"/>
                <w:color w:val="000000" w:themeColor="text1"/>
                <w:lang w:val="ro-RO"/>
              </w:rPr>
              <w:t xml:space="preserve"> </w:t>
            </w:r>
            <w:r w:rsidR="009C709A" w:rsidRPr="003117B3">
              <w:rPr>
                <w:rFonts w:ascii="Times New Roman" w:eastAsia="Calibri" w:hAnsi="Times New Roman" w:cs="Times New Roman"/>
                <w:iCs/>
                <w:color w:val="000000" w:themeColor="text1"/>
                <w:lang w:val="ro-RO"/>
              </w:rPr>
              <w:t>din prezentul titlu</w:t>
            </w:r>
            <w:r w:rsidRPr="003117B3">
              <w:rPr>
                <w:rFonts w:ascii="Times New Roman" w:eastAsia="Calibri" w:hAnsi="Times New Roman" w:cs="Times New Roman"/>
                <w:iCs/>
                <w:color w:val="000000" w:themeColor="text1"/>
                <w:lang w:val="ro-RO"/>
              </w:rPr>
              <w:t xml:space="preserve"> și se exprimă ca procent. Băncile își calculează indicatorul de finanţare stabilă netă în conformitate cu următoarea formulă:</w:t>
            </w:r>
          </w:p>
          <w:p w14:paraId="4142DE9D" w14:textId="5A905514" w:rsidR="0095772A" w:rsidRPr="003117B3" w:rsidRDefault="00E75AFC" w:rsidP="0095772A">
            <w:pPr>
              <w:tabs>
                <w:tab w:val="left" w:pos="1134"/>
              </w:tabs>
              <w:ind w:firstLine="720"/>
              <w:jc w:val="both"/>
              <w:rPr>
                <w:rFonts w:ascii="Times New Roman" w:eastAsia="Calibri" w:hAnsi="Times New Roman" w:cs="Times New Roman"/>
                <w:iCs/>
                <w:color w:val="000000" w:themeColor="text1"/>
                <w:lang w:val="ro-RO"/>
              </w:rPr>
            </w:pPr>
            <m:oMathPara>
              <m:oMath>
                <m:f>
                  <m:fPr>
                    <m:ctrlPr>
                      <w:rPr>
                        <w:rFonts w:ascii="Cambria Math" w:eastAsia="Arial Unicode MS" w:hAnsi="Cambria Math" w:cs="Times New Roman"/>
                        <w:iCs/>
                        <w:color w:val="000000" w:themeColor="text1"/>
                        <w:lang w:val="ro-RO"/>
                      </w:rPr>
                    </m:ctrlPr>
                  </m:fPr>
                  <m:num>
                    <m:r>
                      <m:rPr>
                        <m:sty m:val="p"/>
                      </m:rPr>
                      <w:rPr>
                        <w:rFonts w:ascii="Cambria Math" w:eastAsia="Arial Unicode MS" w:hAnsi="Cambria Math" w:cs="Times New Roman"/>
                        <w:color w:val="000000" w:themeColor="text1"/>
                        <w:lang w:val="ro-RO"/>
                      </w:rPr>
                      <m:t xml:space="preserve">Finanţarea stabilă disponibilă </m:t>
                    </m:r>
                  </m:num>
                  <m:den>
                    <m:r>
                      <m:rPr>
                        <m:sty m:val="p"/>
                      </m:rPr>
                      <w:rPr>
                        <w:rFonts w:ascii="Cambria Math" w:eastAsia="Arial Unicode MS" w:hAnsi="Cambria Math" w:cs="Times New Roman"/>
                        <w:color w:val="000000" w:themeColor="text1"/>
                        <w:lang w:val="ro-RO"/>
                      </w:rPr>
                      <m:t>Finanţarea stabilă necesară</m:t>
                    </m:r>
                  </m:den>
                </m:f>
                <m:r>
                  <w:rPr>
                    <w:rFonts w:ascii="Cambria Math" w:eastAsia="Arial Unicode MS" w:hAnsi="Cambria Math" w:cs="Times New Roman"/>
                    <w:color w:val="000000" w:themeColor="text1"/>
                    <w:lang w:val="ro-RO"/>
                  </w:rPr>
                  <m:t>=</m:t>
                </m:r>
                <m:r>
                  <m:rPr>
                    <m:sty m:val="p"/>
                  </m:rPr>
                  <w:rPr>
                    <w:rFonts w:ascii="Cambria Math" w:eastAsia="Arial Unicode MS" w:hAnsi="Cambria Math" w:cs="Times New Roman"/>
                    <w:color w:val="000000" w:themeColor="text1"/>
                    <w:lang w:val="ro-RO"/>
                  </w:rPr>
                  <m:t>Indicatorul de finanţare stabilă netă (NSFR) (%)</m:t>
                </m:r>
              </m:oMath>
            </m:oMathPara>
          </w:p>
          <w:p w14:paraId="63A2A757" w14:textId="77777777" w:rsidR="0095772A" w:rsidRPr="003117B3" w:rsidRDefault="0095772A" w:rsidP="0095772A">
            <w:pPr>
              <w:spacing w:after="0" w:line="276" w:lineRule="auto"/>
              <w:rPr>
                <w:rFonts w:ascii="Times New Roman" w:hAnsi="Times New Roman" w:cs="Times New Roman"/>
                <w:color w:val="000000" w:themeColor="text1"/>
                <w:lang w:val="ro-MD"/>
              </w:rPr>
            </w:pPr>
          </w:p>
        </w:tc>
        <w:tc>
          <w:tcPr>
            <w:tcW w:w="336" w:type="pct"/>
          </w:tcPr>
          <w:p w14:paraId="71FAA392" w14:textId="159ECCB6" w:rsidR="0095772A" w:rsidRPr="003117B3" w:rsidRDefault="0095772A"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3762189E"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4957338C"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0362A6C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8A419AD" w14:textId="4E3D1EAF"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(2) Instituţiile menţin un indicator de finanţare stabilă netă de cel puţin 100 %, calculat în moneda de raportare pentru toate tranzacţiile, indiferent de moneda de denominare efectivă a acestora.</w:t>
            </w:r>
          </w:p>
        </w:tc>
        <w:tc>
          <w:tcPr>
            <w:tcW w:w="1249" w:type="pct"/>
          </w:tcPr>
          <w:p w14:paraId="2A79E85A" w14:textId="7E76AF3F" w:rsidR="0095772A" w:rsidRPr="003117B3" w:rsidRDefault="0095772A" w:rsidP="007C7B76">
            <w:pPr>
              <w:tabs>
                <w:tab w:val="left" w:pos="1134"/>
              </w:tabs>
              <w:jc w:val="both"/>
              <w:rPr>
                <w:rFonts w:ascii="Times New Roman" w:hAnsi="Times New Roman" w:cs="Times New Roman"/>
                <w:color w:val="000000" w:themeColor="text1"/>
                <w:lang w:val="ro-RO"/>
              </w:rPr>
            </w:pPr>
            <w:r w:rsidRPr="003117B3">
              <w:rPr>
                <w:rFonts w:ascii="Times New Roman" w:hAnsi="Times New Roman" w:cs="Times New Roman"/>
                <w:iCs/>
                <w:color w:val="000000" w:themeColor="text1"/>
                <w:lang w:val="ro-RO"/>
              </w:rPr>
              <w:t>109</w:t>
            </w:r>
            <w:r w:rsidRPr="003117B3">
              <w:rPr>
                <w:rFonts w:ascii="Times New Roman" w:hAnsi="Times New Roman" w:cs="Times New Roman"/>
                <w:iCs/>
                <w:color w:val="000000" w:themeColor="text1"/>
                <w:vertAlign w:val="superscript"/>
                <w:lang w:val="ro-RO"/>
              </w:rPr>
              <w:t>2</w:t>
            </w:r>
            <w:r w:rsidRPr="003117B3">
              <w:rPr>
                <w:rFonts w:ascii="Times New Roman" w:hAnsi="Times New Roman" w:cs="Times New Roman"/>
                <w:iCs/>
                <w:color w:val="000000" w:themeColor="text1"/>
                <w:lang w:val="ro-RO"/>
              </w:rPr>
              <w:t xml:space="preserve">. Băncile menţin un indicator de finanţare stabilă netă de cel puţin 100 %, calculat în </w:t>
            </w:r>
            <w:r w:rsidR="00393799" w:rsidRPr="003117B3">
              <w:rPr>
                <w:rFonts w:ascii="Times New Roman" w:hAnsi="Times New Roman" w:cs="Times New Roman"/>
                <w:iCs/>
                <w:color w:val="000000" w:themeColor="text1"/>
                <w:lang w:val="ro-RO"/>
              </w:rPr>
              <w:t>lei moldovenești</w:t>
            </w:r>
            <w:r w:rsidRPr="003117B3">
              <w:rPr>
                <w:rFonts w:ascii="Times New Roman" w:hAnsi="Times New Roman" w:cs="Times New Roman"/>
                <w:iCs/>
                <w:color w:val="000000" w:themeColor="text1"/>
                <w:lang w:val="ro-RO"/>
              </w:rPr>
              <w:t xml:space="preserve"> pentru toate tranzacţiile, indiferent de moneda de denominare efectivă a acestora. </w:t>
            </w:r>
          </w:p>
        </w:tc>
        <w:tc>
          <w:tcPr>
            <w:tcW w:w="336" w:type="pct"/>
          </w:tcPr>
          <w:p w14:paraId="21D38AC1" w14:textId="2DB73C7C" w:rsidR="0095772A" w:rsidRPr="003117B3" w:rsidRDefault="0095772A"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4B7EE195"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5DA0F84E"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7281FABA"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A6B425D" w14:textId="2B5389E6"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rPr>
              <w:t xml:space="preserve">(3) În cazul în care, în orice moment, indicatorul de finanţare stabilă netă al unei instituţii a scăzut sub 100 % sau este de așteptat, în mod rezonabil, să scadă sub 100 %, se aplică cerinţa stabilită la articolul 414. </w:t>
            </w:r>
            <w:r w:rsidRPr="003117B3">
              <w:rPr>
                <w:rFonts w:ascii="Times New Roman" w:hAnsi="Times New Roman" w:cs="Times New Roman"/>
                <w:color w:val="000000" w:themeColor="text1"/>
                <w:lang w:val="it-IT"/>
              </w:rPr>
              <w:t xml:space="preserve">Instituţia vizează readucerea indicatorului de finanţare stabilă netă la nivelul menţionat la alineatul (2) de la prezentul articol. Autorităţile competente evaluează motivele nerespectării de către instituţie a dispoziţiilor de la alineatul (2) de la prezentul articol înainte de a lua orice măsuri de supraveghere. </w:t>
            </w:r>
          </w:p>
        </w:tc>
        <w:tc>
          <w:tcPr>
            <w:tcW w:w="1249" w:type="pct"/>
          </w:tcPr>
          <w:p w14:paraId="4FDD9159" w14:textId="0355A9D5" w:rsidR="0095772A" w:rsidRPr="003117B3" w:rsidRDefault="0095772A" w:rsidP="003117B3">
            <w:pPr>
              <w:tabs>
                <w:tab w:val="left" w:pos="1134"/>
              </w:tabs>
              <w:jc w:val="both"/>
              <w:rPr>
                <w:rFonts w:ascii="Times New Roman" w:hAnsi="Times New Roman" w:cs="Times New Roman"/>
                <w:color w:val="000000" w:themeColor="text1"/>
                <w:lang w:val="ro-RO"/>
              </w:rPr>
            </w:pPr>
            <w:r w:rsidRPr="003117B3">
              <w:rPr>
                <w:rFonts w:ascii="Times New Roman" w:eastAsia="Calibri" w:hAnsi="Times New Roman" w:cs="Times New Roman"/>
                <w:iCs/>
                <w:color w:val="000000" w:themeColor="text1"/>
                <w:lang w:val="ro-RO"/>
              </w:rPr>
              <w:t>109</w:t>
            </w:r>
            <w:r w:rsidRPr="003117B3">
              <w:rPr>
                <w:rFonts w:ascii="Times New Roman" w:eastAsia="Calibri" w:hAnsi="Times New Roman" w:cs="Times New Roman"/>
                <w:iCs/>
                <w:color w:val="000000" w:themeColor="text1"/>
                <w:vertAlign w:val="superscript"/>
                <w:lang w:val="ro-RO"/>
              </w:rPr>
              <w:t>3</w:t>
            </w:r>
            <w:r w:rsidRPr="003117B3">
              <w:rPr>
                <w:rFonts w:ascii="Times New Roman" w:eastAsia="Calibri" w:hAnsi="Times New Roman" w:cs="Times New Roman"/>
                <w:iCs/>
                <w:color w:val="000000" w:themeColor="text1"/>
                <w:lang w:val="ro-RO"/>
              </w:rPr>
              <w:t xml:space="preserve">. În cazul în care, în orice moment, indicatorul de finanţare stabilă netă al unei bănci a scăzut sub 100 % sau este de așteptat, în mod rezonabil, să scadă sub 100 %, se aplică cerinţa stabilită la </w:t>
            </w:r>
            <w:r w:rsidR="008E557B" w:rsidRPr="003117B3">
              <w:rPr>
                <w:rFonts w:ascii="Times New Roman" w:eastAsia="Calibri" w:hAnsi="Times New Roman" w:cs="Times New Roman"/>
                <w:iCs/>
                <w:color w:val="000000" w:themeColor="text1"/>
                <w:lang w:val="ro-RO"/>
              </w:rPr>
              <w:t>secțiunea 5 din titlul I</w:t>
            </w:r>
            <w:r w:rsidRPr="003117B3">
              <w:rPr>
                <w:rFonts w:ascii="Times New Roman" w:eastAsia="Calibri" w:hAnsi="Times New Roman" w:cs="Times New Roman"/>
                <w:iCs/>
                <w:color w:val="000000" w:themeColor="text1"/>
                <w:lang w:val="ro-RO"/>
              </w:rPr>
              <w:t xml:space="preserve">. Banca </w:t>
            </w:r>
            <w:r w:rsidR="009F1BC4" w:rsidRPr="003117B3">
              <w:rPr>
                <w:rFonts w:ascii="Times New Roman" w:eastAsia="Calibri" w:hAnsi="Times New Roman" w:cs="Times New Roman"/>
                <w:iCs/>
                <w:color w:val="000000" w:themeColor="text1"/>
                <w:lang w:val="ro-RO"/>
              </w:rPr>
              <w:t>urmărește să își restabilească indicatorul</w:t>
            </w:r>
            <w:r w:rsidRPr="003117B3">
              <w:rPr>
                <w:rFonts w:ascii="Times New Roman" w:eastAsia="Calibri" w:hAnsi="Times New Roman" w:cs="Times New Roman"/>
                <w:iCs/>
                <w:color w:val="000000" w:themeColor="text1"/>
                <w:lang w:val="ro-RO"/>
              </w:rPr>
              <w:t xml:space="preserve"> de finanţare stabilă netă la nivelul menţionat la pct.109</w:t>
            </w:r>
            <w:r w:rsidRPr="003117B3">
              <w:rPr>
                <w:rFonts w:ascii="Times New Roman" w:eastAsia="Calibri" w:hAnsi="Times New Roman" w:cs="Times New Roman"/>
                <w:iCs/>
                <w:color w:val="000000" w:themeColor="text1"/>
                <w:vertAlign w:val="superscript"/>
                <w:lang w:val="ro-RO"/>
              </w:rPr>
              <w:t>2</w:t>
            </w:r>
            <w:r w:rsidRPr="003117B3">
              <w:rPr>
                <w:rFonts w:ascii="Times New Roman" w:eastAsia="Calibri" w:hAnsi="Times New Roman" w:cs="Times New Roman"/>
                <w:iCs/>
                <w:color w:val="000000" w:themeColor="text1"/>
                <w:lang w:val="ro-RO"/>
              </w:rPr>
              <w:t>. BNM evaluează motivele nerespectării de către bancă a dispoziţiilor de la pct.109</w:t>
            </w:r>
            <w:r w:rsidRPr="003117B3">
              <w:rPr>
                <w:rFonts w:ascii="Times New Roman" w:eastAsia="Calibri" w:hAnsi="Times New Roman" w:cs="Times New Roman"/>
                <w:iCs/>
                <w:color w:val="000000" w:themeColor="text1"/>
                <w:vertAlign w:val="superscript"/>
                <w:lang w:val="ro-RO"/>
              </w:rPr>
              <w:t>2</w:t>
            </w:r>
            <w:r w:rsidRPr="003117B3">
              <w:rPr>
                <w:rFonts w:ascii="Times New Roman" w:eastAsia="Calibri" w:hAnsi="Times New Roman" w:cs="Times New Roman"/>
                <w:iCs/>
                <w:color w:val="000000" w:themeColor="text1"/>
                <w:lang w:val="ro-RO"/>
              </w:rPr>
              <w:t xml:space="preserve"> înainte de a lua orice măsuri de supraveghere.</w:t>
            </w:r>
          </w:p>
        </w:tc>
        <w:tc>
          <w:tcPr>
            <w:tcW w:w="336" w:type="pct"/>
          </w:tcPr>
          <w:p w14:paraId="021DD994" w14:textId="7D1B2997"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4E30B8DD"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3E30D5AC"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4D5A4575"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3038B8E"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▼M8</w:t>
            </w:r>
          </w:p>
          <w:p w14:paraId="7F6CD475" w14:textId="73F1639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(4) Instituţiile își calculează și își monitorizează indicatorul de finanţare stabilă netă în moneda de raportare pentru toate tranzacţiile, indiferent de moneda de denominare efectivă a acestora, și separat pentru tranzacţiile denominate în fiecare dintre monedele care fac obiectul raportării </w:t>
            </w:r>
            <w:r w:rsidRPr="003117B3">
              <w:rPr>
                <w:rFonts w:ascii="Times New Roman" w:hAnsi="Times New Roman" w:cs="Times New Roman"/>
                <w:color w:val="000000" w:themeColor="text1"/>
                <w:lang w:val="it-IT"/>
              </w:rPr>
              <w:lastRenderedPageBreak/>
              <w:t>separate în conformitate cu articolul 415 alineatul (2).</w:t>
            </w:r>
          </w:p>
        </w:tc>
        <w:tc>
          <w:tcPr>
            <w:tcW w:w="1249" w:type="pct"/>
          </w:tcPr>
          <w:p w14:paraId="0D1F8C43" w14:textId="3F157E12"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iCs/>
                <w:color w:val="000000" w:themeColor="text1"/>
                <w:lang w:val="ro-RO"/>
              </w:rPr>
              <w:lastRenderedPageBreak/>
              <w:t>109</w:t>
            </w:r>
            <w:r w:rsidRPr="003117B3">
              <w:rPr>
                <w:rFonts w:ascii="Times New Roman" w:eastAsia="Calibri" w:hAnsi="Times New Roman" w:cs="Times New Roman"/>
                <w:iCs/>
                <w:color w:val="000000" w:themeColor="text1"/>
                <w:vertAlign w:val="superscript"/>
                <w:lang w:val="ro-RO"/>
              </w:rPr>
              <w:t>4</w:t>
            </w:r>
            <w:r w:rsidRPr="003117B3">
              <w:rPr>
                <w:rFonts w:ascii="Times New Roman" w:eastAsia="Calibri" w:hAnsi="Times New Roman" w:cs="Times New Roman"/>
                <w:iCs/>
                <w:color w:val="000000" w:themeColor="text1"/>
                <w:lang w:val="ro-RO"/>
              </w:rPr>
              <w:t xml:space="preserve">. Băncile își calculează și își monitorizează indicatorul de finanţare stabilă netă în </w:t>
            </w:r>
            <w:r w:rsidR="006514EC" w:rsidRPr="003117B3">
              <w:rPr>
                <w:rFonts w:ascii="Times New Roman" w:eastAsia="Calibri" w:hAnsi="Times New Roman" w:cs="Times New Roman"/>
                <w:iCs/>
                <w:color w:val="000000" w:themeColor="text1"/>
                <w:lang w:val="ro-RO"/>
              </w:rPr>
              <w:t>lei moldovenești</w:t>
            </w:r>
            <w:r w:rsidRPr="003117B3">
              <w:rPr>
                <w:rFonts w:ascii="Times New Roman" w:eastAsia="Calibri" w:hAnsi="Times New Roman" w:cs="Times New Roman"/>
                <w:iCs/>
                <w:color w:val="000000" w:themeColor="text1"/>
                <w:lang w:val="ro-RO"/>
              </w:rPr>
              <w:t xml:space="preserve"> pentru toate tranzacţiile, indiferent de moneda de denominare efectivă a acestora, și separat pentru tranzacţiile denominate în fiecare dintre monedele care fac obiectul raportării separate în conformitate cu </w:t>
            </w:r>
            <w:r w:rsidR="008E557B" w:rsidRPr="003117B3">
              <w:rPr>
                <w:rFonts w:ascii="Times New Roman" w:eastAsia="Calibri" w:hAnsi="Times New Roman" w:cs="Times New Roman"/>
                <w:iCs/>
                <w:color w:val="000000" w:themeColor="text1"/>
                <w:lang w:val="ro-RO"/>
              </w:rPr>
              <w:t>pct.6</w:t>
            </w:r>
            <w:r w:rsidR="00AF7A6C" w:rsidRPr="003117B3">
              <w:rPr>
                <w:rFonts w:ascii="Times New Roman" w:eastAsia="Calibri" w:hAnsi="Times New Roman" w:cs="Times New Roman"/>
                <w:iCs/>
                <w:color w:val="000000" w:themeColor="text1"/>
                <w:vertAlign w:val="superscript"/>
                <w:lang w:val="ro-RO"/>
              </w:rPr>
              <w:t>10</w:t>
            </w:r>
            <w:r w:rsidRPr="003117B3">
              <w:rPr>
                <w:rFonts w:ascii="Times New Roman" w:eastAsia="Calibri" w:hAnsi="Times New Roman" w:cs="Times New Roman"/>
                <w:iCs/>
                <w:color w:val="000000" w:themeColor="text1"/>
                <w:lang w:val="ro-RO"/>
              </w:rPr>
              <w:t>.</w:t>
            </w:r>
          </w:p>
        </w:tc>
        <w:tc>
          <w:tcPr>
            <w:tcW w:w="336" w:type="pct"/>
          </w:tcPr>
          <w:p w14:paraId="0E548E48" w14:textId="50D22EED"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5CE30C83"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0D63EBD0"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44E5FB14"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61EBC74"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(5) Instituţiile se asigură că distribuirea profilului lor de finanţare în funcţie de moneda de denominare este, în general, consecventă cu distribuirea în funcţie de monedă a activelor lor. După caz, autorităţile competente pot impune instituţiilor să restricţioneze neconcordanţele de monede prin stabilirea unor limite privind procentul din finanţarea stabilă necesară într-o anumită monedă care poate fi acoperit prin finanţarea stabilă disponibilă care nu este denominată în moneda respectivă. Această restricţie poate fi aplicată numai pentru o monedă care face obiectul raportării separate în conformitate cu articolul 415 alineatul (2).</w:t>
            </w:r>
          </w:p>
          <w:p w14:paraId="24307A32"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Pentru determinarea nivelului oricăror restricţii privind neconcordanţele de monede care pot fi aplicate în conformitate cu prezentul articol, autorităţile competente iau în considerare cel puţin următoarele elemente:</w:t>
            </w:r>
          </w:p>
          <w:p w14:paraId="72CC91A6"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 dacă instituţia are capacitatea de a transfera finanţarea stabilă disponibilă de la o monedă la alta și între jurisdicţii și entităţi juridice din cadrul grupului și capacitatea de a efectua swapuri pe </w:t>
            </w:r>
            <w:r w:rsidRPr="003117B3">
              <w:rPr>
                <w:rFonts w:ascii="Times New Roman" w:hAnsi="Times New Roman" w:cs="Times New Roman"/>
                <w:color w:val="000000" w:themeColor="text1"/>
                <w:lang w:val="it-IT"/>
              </w:rPr>
              <w:lastRenderedPageBreak/>
              <w:t>valută și de a atrage fonduri de pe pieţele valutare în orizontul de timp de un an al indicatorului de finanţare stabilă netă;</w:t>
            </w:r>
          </w:p>
          <w:p w14:paraId="2CFC8411"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impactul variaţiilor nefavorabile ale cursului de schimb asupra poziţiilor neconcordante existente și asupra eficacităţii oricăror acoperiri valutare existente.</w:t>
            </w:r>
          </w:p>
          <w:p w14:paraId="58438683" w14:textId="6E635644"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Orice restricţie privind neconcordanţele de monede impusă în conformitate cu prezentul articol constituie o cerinţă specifică de lichiditate, astfel cum se prevede la articolul 105 din Directiva 2013/36/UE.</w:t>
            </w:r>
          </w:p>
        </w:tc>
        <w:tc>
          <w:tcPr>
            <w:tcW w:w="1249" w:type="pct"/>
          </w:tcPr>
          <w:p w14:paraId="386AC83C" w14:textId="44ABD73A" w:rsidR="00BA7E69" w:rsidRPr="003117B3" w:rsidRDefault="00BA7E69" w:rsidP="00BA7E69">
            <w:pPr>
              <w:spacing w:line="276" w:lineRule="auto"/>
              <w:jc w:val="both"/>
              <w:rPr>
                <w:rFonts w:ascii="Times New Roman" w:hAnsi="Times New Roman" w:cs="Times New Roman"/>
                <w:iCs/>
                <w:color w:val="000000" w:themeColor="text1"/>
                <w:lang w:val="ro-RO"/>
              </w:rPr>
            </w:pPr>
            <w:r w:rsidRPr="003117B3">
              <w:rPr>
                <w:rFonts w:ascii="Times New Roman" w:hAnsi="Times New Roman" w:cs="Times New Roman"/>
                <w:iCs/>
                <w:color w:val="000000" w:themeColor="text1"/>
                <w:lang w:val="ro-RO"/>
              </w:rPr>
              <w:lastRenderedPageBreak/>
              <w:t>109</w:t>
            </w:r>
            <w:r w:rsidRPr="003117B3">
              <w:rPr>
                <w:rFonts w:ascii="Times New Roman" w:hAnsi="Times New Roman" w:cs="Times New Roman"/>
                <w:iCs/>
                <w:color w:val="000000" w:themeColor="text1"/>
                <w:vertAlign w:val="superscript"/>
                <w:lang w:val="ro-RO"/>
              </w:rPr>
              <w:t>5</w:t>
            </w:r>
            <w:r w:rsidRPr="003117B3">
              <w:rPr>
                <w:rFonts w:ascii="Times New Roman" w:hAnsi="Times New Roman" w:cs="Times New Roman"/>
                <w:iCs/>
                <w:color w:val="000000" w:themeColor="text1"/>
                <w:lang w:val="ro-RO"/>
              </w:rPr>
              <w:t xml:space="preserve">. </w:t>
            </w:r>
            <w:r w:rsidRPr="003117B3">
              <w:rPr>
                <w:rFonts w:ascii="Times New Roman" w:hAnsi="Times New Roman" w:cs="Times New Roman"/>
                <w:color w:val="000000" w:themeColor="text1"/>
                <w:lang w:val="it-IT"/>
              </w:rPr>
              <w:t xml:space="preserve">Băncile se asigură că distribuirea profilului lor de finanţare în funcţie de moneda de denominare este, în general, în corespundere cu distribuirea în funcţie de monedă a activelor lor. După caz, BNM poate impune băncilor să restricţioneze necorelarea structurii pe monede prin stabilirea unor limite privind procentul din finanţarea stabilă necesară într-o anumită monedă care poate fi acoperit prin finanţarea stabilă disponibilă care nu este denominată în moneda respectivă. Această restricţie poate fi aplicată numai pentru o monedă care face obiectul raportării separate în conformitate cu </w:t>
            </w:r>
            <w:r w:rsidRPr="003117B3">
              <w:rPr>
                <w:rFonts w:ascii="Times New Roman" w:hAnsi="Times New Roman" w:cs="Times New Roman"/>
                <w:iCs/>
                <w:color w:val="000000" w:themeColor="text1"/>
                <w:lang w:val="ro-RO"/>
              </w:rPr>
              <w:t>pct.6</w:t>
            </w:r>
            <w:r w:rsidR="00AF7A6C" w:rsidRPr="003117B3">
              <w:rPr>
                <w:rFonts w:ascii="Times New Roman" w:hAnsi="Times New Roman" w:cs="Times New Roman"/>
                <w:iCs/>
                <w:color w:val="000000" w:themeColor="text1"/>
                <w:vertAlign w:val="superscript"/>
                <w:lang w:val="ro-RO"/>
              </w:rPr>
              <w:t>10</w:t>
            </w:r>
            <w:r w:rsidRPr="003117B3">
              <w:rPr>
                <w:rFonts w:ascii="Times New Roman" w:hAnsi="Times New Roman" w:cs="Times New Roman"/>
                <w:iCs/>
                <w:color w:val="000000" w:themeColor="text1"/>
                <w:lang w:val="ro-RO"/>
              </w:rPr>
              <w:t>.</w:t>
            </w:r>
          </w:p>
          <w:p w14:paraId="3BB1F00A" w14:textId="168310BF" w:rsidR="007808D5" w:rsidRPr="003117B3" w:rsidRDefault="007808D5" w:rsidP="007808D5">
            <w:pPr>
              <w:spacing w:line="276" w:lineRule="auto"/>
              <w:jc w:val="both"/>
              <w:rPr>
                <w:rFonts w:ascii="Times New Roman" w:hAnsi="Times New Roman" w:cs="Times New Roman"/>
                <w:color w:val="000000" w:themeColor="text1"/>
                <w:lang w:val="it-IT"/>
              </w:rPr>
            </w:pPr>
            <w:r w:rsidRPr="003117B3">
              <w:rPr>
                <w:rFonts w:ascii="Times New Roman" w:hAnsi="Times New Roman" w:cs="Times New Roman"/>
                <w:iCs/>
                <w:color w:val="000000" w:themeColor="text1"/>
                <w:lang w:val="ro-RO"/>
              </w:rPr>
              <w:t>109</w:t>
            </w:r>
            <w:r w:rsidRPr="003117B3">
              <w:rPr>
                <w:rFonts w:ascii="Times New Roman" w:hAnsi="Times New Roman" w:cs="Times New Roman"/>
                <w:iCs/>
                <w:color w:val="000000" w:themeColor="text1"/>
                <w:vertAlign w:val="superscript"/>
                <w:lang w:val="ro-RO"/>
              </w:rPr>
              <w:t>6</w:t>
            </w:r>
            <w:r w:rsidRPr="003117B3">
              <w:rPr>
                <w:rFonts w:ascii="Times New Roman" w:hAnsi="Times New Roman" w:cs="Times New Roman"/>
                <w:iCs/>
                <w:color w:val="000000" w:themeColor="text1"/>
                <w:lang w:val="ro-RO"/>
              </w:rPr>
              <w:t xml:space="preserve">. </w:t>
            </w:r>
            <w:r w:rsidRPr="003117B3">
              <w:rPr>
                <w:rFonts w:ascii="Times New Roman" w:hAnsi="Times New Roman" w:cs="Times New Roman"/>
                <w:color w:val="000000" w:themeColor="text1"/>
                <w:lang w:val="it-IT"/>
              </w:rPr>
              <w:t>Pentru determinarea nivelului oricărei restricţii privind necorelarea structurii pe monede care poate fi aplicată în conformitate cu prezenta secțiune, BNM ia în considerare cel puţin următoarele elemente:</w:t>
            </w:r>
          </w:p>
          <w:p w14:paraId="3452886D" w14:textId="77777777" w:rsidR="007808D5" w:rsidRPr="003117B3" w:rsidRDefault="007808D5" w:rsidP="007808D5">
            <w:pPr>
              <w:spacing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1) dacă banca are capacitatea:</w:t>
            </w:r>
          </w:p>
          <w:p w14:paraId="5D487A70" w14:textId="0123ED79" w:rsidR="007808D5" w:rsidRPr="003117B3" w:rsidRDefault="007808D5" w:rsidP="007808D5">
            <w:pPr>
              <w:spacing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 de a transfera finanţarea stabilă disponibilă de la o monedă la alta și între jurisdicţii și entităţi juridice din cadrul grupului; </w:t>
            </w:r>
          </w:p>
          <w:p w14:paraId="408E0769" w14:textId="7B1FC970" w:rsidR="007808D5" w:rsidRPr="003117B3" w:rsidRDefault="007808D5" w:rsidP="007808D5">
            <w:pPr>
              <w:spacing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de a efectua swapuri pe valută și de a atrage fonduri de pe pieţele valutare în orizontul de timp de un an al indicatorului de finanţare stabilă netă;</w:t>
            </w:r>
          </w:p>
          <w:p w14:paraId="23BF1020" w14:textId="1DD7CFBA" w:rsidR="007808D5" w:rsidRPr="003117B3" w:rsidRDefault="007808D5" w:rsidP="007808D5">
            <w:pPr>
              <w:spacing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2) impactul variaţiilor bruște și adverse ale cursului de schimb asupra poziţiilor necorelate existente și asupra eficacităţii oricăror acoperiri valutare existente.</w:t>
            </w:r>
          </w:p>
          <w:p w14:paraId="318C399D" w14:textId="36924BB6" w:rsidR="0095772A" w:rsidRPr="003117B3" w:rsidRDefault="007808D5" w:rsidP="007C7B76">
            <w:pPr>
              <w:spacing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109</w:t>
            </w:r>
            <w:r w:rsidRPr="003117B3">
              <w:rPr>
                <w:rFonts w:ascii="Times New Roman" w:hAnsi="Times New Roman" w:cs="Times New Roman"/>
                <w:color w:val="000000" w:themeColor="text1"/>
                <w:vertAlign w:val="superscript"/>
                <w:lang w:val="it-IT"/>
              </w:rPr>
              <w:t>7</w:t>
            </w:r>
            <w:r w:rsidRPr="003117B3">
              <w:rPr>
                <w:rFonts w:ascii="Times New Roman" w:hAnsi="Times New Roman" w:cs="Times New Roman"/>
                <w:color w:val="000000" w:themeColor="text1"/>
                <w:lang w:val="it-IT"/>
              </w:rPr>
              <w:t>. Orice restricţie privind necorelarea structurii pe monede impusă în conformitate cu pct.109</w:t>
            </w:r>
            <w:r w:rsidRPr="003117B3">
              <w:rPr>
                <w:rFonts w:ascii="Times New Roman" w:hAnsi="Times New Roman" w:cs="Times New Roman"/>
                <w:color w:val="000000" w:themeColor="text1"/>
                <w:vertAlign w:val="superscript"/>
                <w:lang w:val="it-IT"/>
              </w:rPr>
              <w:t>6</w:t>
            </w:r>
            <w:r w:rsidRPr="003117B3">
              <w:rPr>
                <w:rFonts w:ascii="Times New Roman" w:hAnsi="Times New Roman" w:cs="Times New Roman"/>
                <w:color w:val="000000" w:themeColor="text1"/>
                <w:lang w:val="it-IT"/>
              </w:rPr>
              <w:t xml:space="preserve"> constituie o cerinţă specifică privind lichiditățile, stabilită ca urmare a evaluărilor și analizelor efectuate în conformitate cu prevederile art.139 </w:t>
            </w:r>
            <w:r w:rsidRPr="003117B3">
              <w:rPr>
                <w:rFonts w:ascii="Times New Roman" w:hAnsi="Times New Roman" w:cs="Times New Roman"/>
                <w:color w:val="000000" w:themeColor="text1"/>
                <w:lang w:val="it-IT"/>
              </w:rPr>
              <w:lastRenderedPageBreak/>
              <w:t>alin.(6) din Legea nr.202/2017 privind activitatea băncilor.</w:t>
            </w:r>
            <w:r w:rsidRPr="003117B3">
              <w:rPr>
                <w:rFonts w:ascii="Times New Roman" w:hAnsi="Times New Roman" w:cs="Times New Roman"/>
                <w:bCs/>
                <w:i/>
                <w:color w:val="000000" w:themeColor="text1"/>
                <w:lang w:val="ro-RO"/>
              </w:rPr>
              <w:t xml:space="preserve"> </w:t>
            </w:r>
          </w:p>
        </w:tc>
        <w:tc>
          <w:tcPr>
            <w:tcW w:w="336" w:type="pct"/>
          </w:tcPr>
          <w:p w14:paraId="6B8B16B2" w14:textId="2A5F0A59"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51F2A2A0"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6455A69F"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60FAEE3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B04E36D"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lastRenderedPageBreak/>
              <w:t>CAPITOLUL 2</w:t>
            </w:r>
          </w:p>
          <w:p w14:paraId="759587DD"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Norme generale pentru calcularea indicatorului de finanţare stabilă netă</w:t>
            </w:r>
          </w:p>
          <w:p w14:paraId="048A1D21"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428c</w:t>
            </w:r>
          </w:p>
          <w:p w14:paraId="418C2792"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Calcularea indicatorului de finanţare stabilă netă</w:t>
            </w:r>
          </w:p>
          <w:p w14:paraId="182286E9" w14:textId="1073F0E5"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(1) Cu excepţia cazului în care se prevede altfel în prezentul titlu, instituţiile iau în considerare activele, pasivele și elementele extrabilanţiere pe bază brută.</w:t>
            </w:r>
          </w:p>
        </w:tc>
        <w:tc>
          <w:tcPr>
            <w:tcW w:w="1249" w:type="pct"/>
          </w:tcPr>
          <w:p w14:paraId="2BF89A2F" w14:textId="69020EEF" w:rsidR="0095772A" w:rsidRPr="003117B3" w:rsidRDefault="0095772A" w:rsidP="0095772A">
            <w:pPr>
              <w:tabs>
                <w:tab w:val="left" w:pos="265"/>
              </w:tabs>
              <w:spacing w:after="120" w:line="240" w:lineRule="auto"/>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t xml:space="preserve">Secțiunea 2. Calcularea indicatorului de finanţare stabilă netă </w:t>
            </w:r>
          </w:p>
          <w:p w14:paraId="7F9E5795" w14:textId="256F506C"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lang w:val="it-IT"/>
              </w:rPr>
              <w:t>109</w:t>
            </w:r>
            <w:r w:rsidRPr="003117B3">
              <w:rPr>
                <w:rFonts w:ascii="Times New Roman" w:eastAsia="Calibri" w:hAnsi="Times New Roman" w:cs="Times New Roman"/>
                <w:color w:val="000000" w:themeColor="text1"/>
                <w:vertAlign w:val="superscript"/>
                <w:lang w:val="it-IT"/>
              </w:rPr>
              <w:t>8</w:t>
            </w:r>
            <w:r w:rsidRPr="003117B3">
              <w:rPr>
                <w:rFonts w:ascii="Times New Roman" w:eastAsia="Calibri" w:hAnsi="Times New Roman" w:cs="Times New Roman"/>
                <w:color w:val="000000" w:themeColor="text1"/>
                <w:lang w:val="it-IT"/>
              </w:rPr>
              <w:t xml:space="preserve">. </w:t>
            </w:r>
            <w:r w:rsidRPr="003117B3">
              <w:rPr>
                <w:rFonts w:ascii="Times New Roman" w:eastAsia="Arial Unicode MS" w:hAnsi="Times New Roman" w:cs="Times New Roman"/>
                <w:bCs/>
                <w:color w:val="000000" w:themeColor="text1"/>
                <w:lang w:val="ro-RO"/>
              </w:rPr>
              <w:t xml:space="preserve">Cu excepţia cazului în care se prevede altfel în prezentul titlu, băncile iau în considerare activele, pasivele și elementele extrabilanţiere pe bază brută. </w:t>
            </w:r>
          </w:p>
        </w:tc>
        <w:tc>
          <w:tcPr>
            <w:tcW w:w="336" w:type="pct"/>
          </w:tcPr>
          <w:p w14:paraId="7892DF25" w14:textId="1B1CC06A"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35877D90"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29E8BF2D"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7A577D66"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356B537" w14:textId="3A9565EC"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(2) În scopul calculării indicatorului de finanţare stabilă netă, instituţiile aplică valorii contabile a activelor, pasivelor și elementelor lor extrabilanţiere factorii de finanţare stabilă corespunzători prevăzuţi în capitolele 3 și 4, cu excepţia cazului în care se prevede altfel în prezentul titlu.</w:t>
            </w:r>
          </w:p>
        </w:tc>
        <w:tc>
          <w:tcPr>
            <w:tcW w:w="1249" w:type="pct"/>
          </w:tcPr>
          <w:p w14:paraId="5072BCA5" w14:textId="3A6D07C4"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rPr>
              <w:t>109</w:t>
            </w:r>
            <w:r w:rsidRPr="003117B3">
              <w:rPr>
                <w:rFonts w:ascii="Times New Roman" w:eastAsia="Calibri" w:hAnsi="Times New Roman" w:cs="Times New Roman"/>
                <w:color w:val="000000" w:themeColor="text1"/>
                <w:vertAlign w:val="superscript"/>
              </w:rPr>
              <w:t>9</w:t>
            </w:r>
            <w:r w:rsidRPr="003117B3">
              <w:rPr>
                <w:rFonts w:ascii="Times New Roman" w:eastAsia="Calibri" w:hAnsi="Times New Roman" w:cs="Times New Roman"/>
                <w:color w:val="000000" w:themeColor="text1"/>
              </w:rPr>
              <w:t xml:space="preserve">. </w:t>
            </w:r>
            <w:r w:rsidRPr="003117B3">
              <w:rPr>
                <w:rFonts w:ascii="Times New Roman" w:eastAsia="Arial Unicode MS" w:hAnsi="Times New Roman" w:cs="Times New Roman"/>
                <w:bCs/>
                <w:color w:val="000000" w:themeColor="text1"/>
                <w:lang w:val="ro-RO"/>
              </w:rPr>
              <w:t xml:space="preserve"> În scopul calculării indicatorului de finanţare stabilă netă, băncile aplică valorii contabile a activelor, pasivelor și elementelor lor extrabilanţiere factorii de finanţare stabilă corespunzători prevăzuţi în capitolele </w:t>
            </w:r>
            <w:r w:rsidR="005E26BC" w:rsidRPr="003117B3">
              <w:rPr>
                <w:rFonts w:ascii="Times New Roman" w:eastAsia="Arial Unicode MS" w:hAnsi="Times New Roman" w:cs="Times New Roman"/>
                <w:bCs/>
                <w:color w:val="000000" w:themeColor="text1"/>
                <w:lang w:val="ro-RO"/>
              </w:rPr>
              <w:t>II și III</w:t>
            </w:r>
            <w:r w:rsidRPr="003117B3">
              <w:rPr>
                <w:rFonts w:ascii="Times New Roman" w:eastAsia="Times New Roman" w:hAnsi="Times New Roman" w:cs="Times New Roman"/>
                <w:color w:val="000000" w:themeColor="text1"/>
              </w:rPr>
              <w:t xml:space="preserve"> </w:t>
            </w:r>
            <w:r w:rsidRPr="003117B3">
              <w:rPr>
                <w:rFonts w:ascii="Times New Roman" w:eastAsia="Arial Unicode MS" w:hAnsi="Times New Roman" w:cs="Times New Roman"/>
                <w:bCs/>
                <w:color w:val="000000" w:themeColor="text1"/>
                <w:lang w:val="ro-RO"/>
              </w:rPr>
              <w:t>din prezentul titlu, cu excepţia cazului în care se prevede altfel în prezentul titlu.</w:t>
            </w:r>
          </w:p>
        </w:tc>
        <w:tc>
          <w:tcPr>
            <w:tcW w:w="336" w:type="pct"/>
          </w:tcPr>
          <w:p w14:paraId="5CBBF296" w14:textId="35DD7F83" w:rsidR="0095772A" w:rsidRPr="003117B3" w:rsidRDefault="005E26BC" w:rsidP="0095772A">
            <w:pPr>
              <w:spacing w:line="276" w:lineRule="auto"/>
              <w:jc w:val="both"/>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RO"/>
              </w:rPr>
              <w:t>compatibil</w:t>
            </w:r>
          </w:p>
        </w:tc>
        <w:tc>
          <w:tcPr>
            <w:tcW w:w="1153" w:type="pct"/>
          </w:tcPr>
          <w:p w14:paraId="31564CDE"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56CFBB76"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67DEFC92"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DE6A387"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(3) Instituţiile nu iau în calcul de două ori finanţarea stabilă necesară și finanţarea stabilă disponibilă.</w:t>
            </w:r>
          </w:p>
          <w:p w14:paraId="34148366" w14:textId="341C3E79"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Cu excepţia cazului în care se prevede altfel în prezentul titlu, în cazul în care un element poate fi încadrat în mai mult de o categorie de finanţare stabilă obligatorie, el este încadrat în categoria de finanţare stabilă necesară care produce cea mai mare finanţare stabilă necesară contractuală pentru elementul în cauză.</w:t>
            </w:r>
          </w:p>
        </w:tc>
        <w:tc>
          <w:tcPr>
            <w:tcW w:w="1249" w:type="pct"/>
          </w:tcPr>
          <w:p w14:paraId="2C8887DD"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Calibri" w:hAnsi="Times New Roman" w:cs="Times New Roman"/>
                <w:color w:val="000000" w:themeColor="text1"/>
                <w:lang w:val="it-IT"/>
              </w:rPr>
              <w:lastRenderedPageBreak/>
              <w:t>109</w:t>
            </w:r>
            <w:r w:rsidRPr="003117B3">
              <w:rPr>
                <w:rFonts w:ascii="Times New Roman" w:eastAsia="Calibri" w:hAnsi="Times New Roman" w:cs="Times New Roman"/>
                <w:color w:val="000000" w:themeColor="text1"/>
                <w:vertAlign w:val="superscript"/>
                <w:lang w:val="it-IT"/>
              </w:rPr>
              <w:t>10</w:t>
            </w:r>
            <w:r w:rsidRPr="003117B3">
              <w:rPr>
                <w:rFonts w:ascii="Times New Roman" w:eastAsia="Calibri" w:hAnsi="Times New Roman" w:cs="Times New Roman"/>
                <w:color w:val="000000" w:themeColor="text1"/>
                <w:lang w:val="it-IT"/>
              </w:rPr>
              <w:t xml:space="preserve">. </w:t>
            </w:r>
            <w:r w:rsidRPr="003117B3">
              <w:rPr>
                <w:rFonts w:ascii="Times New Roman" w:eastAsia="Arial Unicode MS" w:hAnsi="Times New Roman" w:cs="Times New Roman"/>
                <w:bCs/>
                <w:color w:val="000000" w:themeColor="text1"/>
                <w:lang w:val="ro-RO"/>
              </w:rPr>
              <w:t xml:space="preserve"> Băncile nu iau în calcul de două ori finanţarea stabilă necesară și finanţarea stabilă disponibilă.</w:t>
            </w:r>
          </w:p>
          <w:p w14:paraId="1201B63A" w14:textId="03CFBD74"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lang w:val="it-IT"/>
              </w:rPr>
              <w:t>109</w:t>
            </w:r>
            <w:r w:rsidRPr="003117B3">
              <w:rPr>
                <w:rFonts w:ascii="Times New Roman" w:eastAsia="Calibri" w:hAnsi="Times New Roman" w:cs="Times New Roman"/>
                <w:color w:val="000000" w:themeColor="text1"/>
                <w:vertAlign w:val="superscript"/>
                <w:lang w:val="it-IT"/>
              </w:rPr>
              <w:t>11</w:t>
            </w:r>
            <w:r w:rsidRPr="003117B3">
              <w:rPr>
                <w:rFonts w:ascii="Times New Roman" w:eastAsia="Calibri" w:hAnsi="Times New Roman" w:cs="Times New Roman"/>
                <w:color w:val="000000" w:themeColor="text1"/>
                <w:lang w:val="it-IT"/>
              </w:rPr>
              <w:t xml:space="preserve">. </w:t>
            </w:r>
            <w:r w:rsidRPr="003117B3">
              <w:rPr>
                <w:rFonts w:ascii="Times New Roman" w:eastAsia="Arial Unicode MS" w:hAnsi="Times New Roman" w:cs="Times New Roman"/>
                <w:bCs/>
                <w:color w:val="000000" w:themeColor="text1"/>
                <w:lang w:val="ro-RO"/>
              </w:rPr>
              <w:t xml:space="preserve">Cu excepţia cazului în care se prevede altfel în prezentul titlu, în </w:t>
            </w:r>
            <w:r w:rsidRPr="003117B3">
              <w:rPr>
                <w:rFonts w:ascii="Times New Roman" w:eastAsia="Arial Unicode MS" w:hAnsi="Times New Roman" w:cs="Times New Roman"/>
                <w:bCs/>
                <w:color w:val="000000" w:themeColor="text1"/>
                <w:lang w:val="ro-RO"/>
              </w:rPr>
              <w:lastRenderedPageBreak/>
              <w:t>cazul în care un element poate fi încadrat în mai mult de o categorie de finanţare stabilă necesară, el este încadrat în categoria de finanţare stabilă necesară care produce cea mai mare finanţare stabilă necesară contractuală pentru elementul în cauză.</w:t>
            </w:r>
          </w:p>
        </w:tc>
        <w:tc>
          <w:tcPr>
            <w:tcW w:w="336" w:type="pct"/>
          </w:tcPr>
          <w:p w14:paraId="66B87E33" w14:textId="5BA60C7A"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4ECE4E08"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5B946B23"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141C564F"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000CF2A"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428d</w:t>
            </w:r>
          </w:p>
          <w:p w14:paraId="7A185BC4"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Contracte derivate</w:t>
            </w:r>
          </w:p>
          <w:p w14:paraId="60A8F519" w14:textId="3306DF7A"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(1) Instituţiile aplică prezentul articol pentru a calcula cuantumul finanţării stabile obligatorii pentru contractele derivate, astfel cum este menţionată în capitolele 3 și 4.</w:t>
            </w:r>
          </w:p>
        </w:tc>
        <w:tc>
          <w:tcPr>
            <w:tcW w:w="1249" w:type="pct"/>
          </w:tcPr>
          <w:p w14:paraId="55A9A6D8" w14:textId="028FFDA3" w:rsidR="0095772A" w:rsidRPr="003117B3" w:rsidRDefault="0095772A" w:rsidP="0095772A">
            <w:pPr>
              <w:tabs>
                <w:tab w:val="left" w:pos="265"/>
              </w:tabs>
              <w:spacing w:after="120" w:line="240" w:lineRule="auto"/>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t xml:space="preserve">Secțiunea 3. Contracte derivate </w:t>
            </w:r>
          </w:p>
          <w:p w14:paraId="4CCF9F64" w14:textId="53A3B70C"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lang w:val="it-IT"/>
              </w:rPr>
              <w:t>109</w:t>
            </w:r>
            <w:r w:rsidRPr="003117B3">
              <w:rPr>
                <w:rFonts w:ascii="Times New Roman" w:eastAsia="Calibri" w:hAnsi="Times New Roman" w:cs="Times New Roman"/>
                <w:color w:val="000000" w:themeColor="text1"/>
                <w:vertAlign w:val="superscript"/>
                <w:lang w:val="it-IT"/>
              </w:rPr>
              <w:t>12</w:t>
            </w:r>
            <w:r w:rsidRPr="003117B3">
              <w:rPr>
                <w:rFonts w:ascii="Times New Roman" w:eastAsia="Calibri" w:hAnsi="Times New Roman" w:cs="Times New Roman"/>
                <w:color w:val="000000" w:themeColor="text1"/>
                <w:lang w:val="it-IT"/>
              </w:rPr>
              <w:t xml:space="preserve">. </w:t>
            </w:r>
            <w:r w:rsidRPr="003117B3">
              <w:rPr>
                <w:rFonts w:ascii="Times New Roman" w:eastAsia="Arial Unicode MS" w:hAnsi="Times New Roman" w:cs="Times New Roman"/>
                <w:bCs/>
                <w:color w:val="000000" w:themeColor="text1"/>
                <w:lang w:val="ro-RO"/>
              </w:rPr>
              <w:t xml:space="preserve"> Băncile aplică prezenta secțiune pentru a calcula cuantumul finanţării stabile </w:t>
            </w:r>
            <w:r w:rsidR="00AF7A6C" w:rsidRPr="003117B3">
              <w:rPr>
                <w:rFonts w:ascii="Times New Roman" w:eastAsia="Arial Unicode MS" w:hAnsi="Times New Roman" w:cs="Times New Roman"/>
                <w:bCs/>
                <w:color w:val="000000" w:themeColor="text1"/>
                <w:lang w:val="ro-RO"/>
              </w:rPr>
              <w:t>necesare</w:t>
            </w:r>
            <w:r w:rsidRPr="003117B3">
              <w:rPr>
                <w:rFonts w:ascii="Times New Roman" w:eastAsia="Arial Unicode MS" w:hAnsi="Times New Roman" w:cs="Times New Roman"/>
                <w:bCs/>
                <w:color w:val="000000" w:themeColor="text1"/>
                <w:lang w:val="ro-RO"/>
              </w:rPr>
              <w:t xml:space="preserve"> pentru contractele derivate, astfel cum</w:t>
            </w:r>
            <w:r w:rsidR="005E26BC" w:rsidRPr="003117B3">
              <w:rPr>
                <w:rFonts w:ascii="Times New Roman" w:eastAsia="Arial Unicode MS" w:hAnsi="Times New Roman" w:cs="Times New Roman"/>
                <w:bCs/>
                <w:color w:val="000000" w:themeColor="text1"/>
                <w:lang w:val="ro-RO"/>
              </w:rPr>
              <w:t xml:space="preserve"> este menţionat în capitolele II și III</w:t>
            </w:r>
            <w:r w:rsidRPr="003117B3">
              <w:rPr>
                <w:rFonts w:ascii="Times New Roman" w:eastAsia="Arial Unicode MS" w:hAnsi="Times New Roman" w:cs="Times New Roman"/>
                <w:bCs/>
                <w:color w:val="000000" w:themeColor="text1"/>
                <w:lang w:val="ro-RO"/>
              </w:rPr>
              <w:t xml:space="preserve"> din prezentul titlu. </w:t>
            </w:r>
          </w:p>
        </w:tc>
        <w:tc>
          <w:tcPr>
            <w:tcW w:w="336" w:type="pct"/>
          </w:tcPr>
          <w:p w14:paraId="54229AF7" w14:textId="0C398787"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4E9FD530"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64C27C02"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7EDF469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0EF3BFA" w14:textId="0B32B2ED"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rPr>
              <w:t xml:space="preserve">(2) Fără a aduce atingere dispoziţiilor articolului 428ah alineatul (2), instituţiile iau în considerare valoarea justă a poziţiilor pe instrumente financiare derivate pe bază netă atunci când aceste poziţii sunt incluse în același set de compensare care îndeplinește cerinţele prevăzute la articolul 429c alineatul (1). </w:t>
            </w:r>
            <w:r w:rsidRPr="003117B3">
              <w:rPr>
                <w:rFonts w:ascii="Times New Roman" w:hAnsi="Times New Roman" w:cs="Times New Roman"/>
                <w:color w:val="000000" w:themeColor="text1"/>
                <w:lang w:val="it-IT"/>
              </w:rPr>
              <w:t>Dacă nu este cazul, instituţiile iau în considerare valoarea justă a poziţiilor pe instrumente financiare derivate pe bază brută și tratează poziţiile respective pe instrumente financiare derivate ca și cum ar aparţine propriului set de compensare în sensul capitolului 4.</w:t>
            </w:r>
          </w:p>
        </w:tc>
        <w:tc>
          <w:tcPr>
            <w:tcW w:w="1249" w:type="pct"/>
          </w:tcPr>
          <w:p w14:paraId="14DC96D4" w14:textId="313A15F9"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lang w:val="it-IT"/>
              </w:rPr>
              <w:t>109</w:t>
            </w:r>
            <w:r w:rsidRPr="003117B3">
              <w:rPr>
                <w:rFonts w:ascii="Times New Roman" w:eastAsia="Calibri" w:hAnsi="Times New Roman" w:cs="Times New Roman"/>
                <w:color w:val="000000" w:themeColor="text1"/>
                <w:vertAlign w:val="superscript"/>
                <w:lang w:val="it-IT"/>
              </w:rPr>
              <w:t>13</w:t>
            </w:r>
            <w:r w:rsidRPr="003117B3">
              <w:rPr>
                <w:rFonts w:ascii="Times New Roman" w:eastAsia="Calibri" w:hAnsi="Times New Roman" w:cs="Times New Roman"/>
                <w:color w:val="000000" w:themeColor="text1"/>
                <w:lang w:val="it-IT"/>
              </w:rPr>
              <w:t>.</w:t>
            </w:r>
            <w:r w:rsidRPr="003117B3">
              <w:rPr>
                <w:rFonts w:ascii="Times New Roman" w:eastAsia="Arial Unicode MS" w:hAnsi="Times New Roman" w:cs="Times New Roman"/>
                <w:bCs/>
                <w:color w:val="000000" w:themeColor="text1"/>
                <w:lang w:val="ro-RO"/>
              </w:rPr>
              <w:t xml:space="preserve"> </w:t>
            </w:r>
            <w:r w:rsidR="009F1BC4" w:rsidRPr="003117B3">
              <w:rPr>
                <w:rFonts w:ascii="Times New Roman" w:eastAsia="Arial Unicode MS" w:hAnsi="Times New Roman" w:cs="Times New Roman"/>
                <w:bCs/>
                <w:color w:val="000000" w:themeColor="text1"/>
                <w:lang w:val="ro-RO"/>
              </w:rPr>
              <w:t>Fără a aduce atingere dispoziţiilor pct.109</w:t>
            </w:r>
            <w:r w:rsidR="009F1BC4" w:rsidRPr="003117B3">
              <w:rPr>
                <w:rFonts w:ascii="Times New Roman" w:eastAsia="Arial Unicode MS" w:hAnsi="Times New Roman" w:cs="Times New Roman"/>
                <w:bCs/>
                <w:color w:val="000000" w:themeColor="text1"/>
                <w:vertAlign w:val="superscript"/>
                <w:lang w:val="ro-RO"/>
              </w:rPr>
              <w:t>72</w:t>
            </w:r>
            <w:r w:rsidR="009F1BC4" w:rsidRPr="003117B3">
              <w:rPr>
                <w:rFonts w:ascii="Times New Roman" w:eastAsia="Arial Unicode MS" w:hAnsi="Times New Roman" w:cs="Times New Roman"/>
                <w:bCs/>
                <w:color w:val="000000" w:themeColor="text1"/>
                <w:lang w:val="ro-RO"/>
              </w:rPr>
              <w:t xml:space="preserve"> și 109</w:t>
            </w:r>
            <w:r w:rsidR="009F1BC4" w:rsidRPr="003117B3">
              <w:rPr>
                <w:rFonts w:ascii="Times New Roman" w:eastAsia="Arial Unicode MS" w:hAnsi="Times New Roman" w:cs="Times New Roman"/>
                <w:bCs/>
                <w:color w:val="000000" w:themeColor="text1"/>
                <w:vertAlign w:val="superscript"/>
                <w:lang w:val="ro-RO"/>
              </w:rPr>
              <w:t>73</w:t>
            </w:r>
            <w:r w:rsidR="009F1BC4" w:rsidRPr="003117B3">
              <w:rPr>
                <w:rFonts w:ascii="Times New Roman" w:eastAsia="Arial Unicode MS" w:hAnsi="Times New Roman" w:cs="Times New Roman"/>
                <w:bCs/>
                <w:color w:val="000000" w:themeColor="text1"/>
                <w:lang w:val="ro-RO"/>
              </w:rPr>
              <w:t>,</w:t>
            </w:r>
            <w:r w:rsidR="009F1BC4" w:rsidRPr="003117B3">
              <w:rPr>
                <w:rFonts w:ascii="Times New Roman" w:eastAsia="Arial Unicode MS" w:hAnsi="Times New Roman" w:cs="Times New Roman"/>
                <w:bCs/>
                <w:color w:val="000000" w:themeColor="text1"/>
                <w:sz w:val="24"/>
                <w:szCs w:val="24"/>
                <w:lang w:val="ro-RO"/>
              </w:rPr>
              <w:t xml:space="preserve"> </w:t>
            </w:r>
            <w:r w:rsidR="00DA0187" w:rsidRPr="003117B3">
              <w:rPr>
                <w:rFonts w:ascii="Times New Roman" w:eastAsia="Arial Unicode MS" w:hAnsi="Times New Roman" w:cs="Times New Roman"/>
                <w:bCs/>
                <w:color w:val="000000" w:themeColor="text1"/>
                <w:sz w:val="24"/>
                <w:szCs w:val="24"/>
                <w:lang w:val="ro-RO"/>
              </w:rPr>
              <w:t>b</w:t>
            </w:r>
            <w:r w:rsidRPr="003117B3">
              <w:rPr>
                <w:rFonts w:ascii="Times New Roman" w:eastAsia="Arial Unicode MS" w:hAnsi="Times New Roman" w:cs="Times New Roman"/>
                <w:bCs/>
                <w:color w:val="000000" w:themeColor="text1"/>
                <w:lang w:val="ro-RO"/>
              </w:rPr>
              <w:t xml:space="preserve">ăncile iau în considerare valoarea justă a poziţiilor pe instrumente financiare derivate pe bază netă atunci când aceste poziţii sunt incluse în același set de compensare care îndeplinește cerinţele prevăzute la </w:t>
            </w:r>
            <w:r w:rsidR="003969D6" w:rsidRPr="003117B3">
              <w:rPr>
                <w:rFonts w:ascii="Times New Roman" w:eastAsia="Arial Unicode MS" w:hAnsi="Times New Roman" w:cs="Times New Roman"/>
                <w:bCs/>
                <w:color w:val="000000" w:themeColor="text1"/>
                <w:lang w:val="ro-RO"/>
              </w:rPr>
              <w:t>pct.17 din Regulamentul nr.274/2020</w:t>
            </w:r>
            <w:r w:rsidR="003969D6" w:rsidRPr="003117B3">
              <w:rPr>
                <w:rFonts w:ascii="Times New Roman" w:hAnsi="Times New Roman" w:cs="Times New Roman"/>
                <w:color w:val="000000" w:themeColor="text1"/>
                <w:lang w:val="ro-RO"/>
              </w:rPr>
              <w:t xml:space="preserve"> </w:t>
            </w:r>
            <w:r w:rsidR="003969D6" w:rsidRPr="003117B3">
              <w:rPr>
                <w:rFonts w:ascii="Times New Roman" w:eastAsia="Arial Unicode MS" w:hAnsi="Times New Roman" w:cs="Times New Roman"/>
                <w:bCs/>
                <w:color w:val="000000" w:themeColor="text1"/>
                <w:lang w:val="ro-RO"/>
              </w:rPr>
              <w:t xml:space="preserve">privind efectul de levier pentru bănci (în continuare Regulamentul nr.274/2020) </w:t>
            </w:r>
            <w:r w:rsidRPr="003117B3">
              <w:rPr>
                <w:rFonts w:ascii="Times New Roman" w:eastAsia="Arial Unicode MS" w:hAnsi="Times New Roman" w:cs="Times New Roman"/>
                <w:bCs/>
                <w:color w:val="000000" w:themeColor="text1"/>
                <w:lang w:val="ro-RO"/>
              </w:rPr>
              <w:t>. Dacă nu este cazul</w:t>
            </w:r>
            <w:r w:rsidR="00F67825" w:rsidRPr="003117B3">
              <w:rPr>
                <w:rFonts w:ascii="Times New Roman" w:eastAsia="Arial Unicode MS" w:hAnsi="Times New Roman" w:cs="Times New Roman"/>
                <w:bCs/>
                <w:color w:val="000000" w:themeColor="text1"/>
                <w:lang w:val="ro-RO"/>
              </w:rPr>
              <w:t xml:space="preserve"> din prima propoziție</w:t>
            </w:r>
            <w:r w:rsidRPr="003117B3">
              <w:rPr>
                <w:rFonts w:ascii="Times New Roman" w:eastAsia="Arial Unicode MS" w:hAnsi="Times New Roman" w:cs="Times New Roman"/>
                <w:bCs/>
                <w:color w:val="000000" w:themeColor="text1"/>
                <w:lang w:val="ro-RO"/>
              </w:rPr>
              <w:t xml:space="preserve">, băncile iau în considerare valoarea justă a poziţiilor pe </w:t>
            </w:r>
            <w:r w:rsidRPr="003117B3">
              <w:rPr>
                <w:rFonts w:ascii="Times New Roman" w:eastAsia="Arial Unicode MS" w:hAnsi="Times New Roman" w:cs="Times New Roman"/>
                <w:bCs/>
                <w:color w:val="000000" w:themeColor="text1"/>
                <w:lang w:val="ro-RO"/>
              </w:rPr>
              <w:lastRenderedPageBreak/>
              <w:t xml:space="preserve">instrumente financiare derivate pe bază brută și tratează poziţiile respective pe instrumente financiare derivate ca și cum ar aparţine propriului set de compensare în sensul </w:t>
            </w:r>
            <w:r w:rsidR="003969D6" w:rsidRPr="003117B3">
              <w:rPr>
                <w:rFonts w:ascii="Times New Roman" w:eastAsia="Arial Unicode MS" w:hAnsi="Times New Roman" w:cs="Times New Roman"/>
                <w:bCs/>
                <w:color w:val="000000" w:themeColor="text1"/>
                <w:lang w:val="ro-RO"/>
              </w:rPr>
              <w:t>prezentului titlu</w:t>
            </w:r>
            <w:r w:rsidRPr="003117B3">
              <w:rPr>
                <w:rFonts w:ascii="Times New Roman" w:eastAsia="Arial Unicode MS" w:hAnsi="Times New Roman" w:cs="Times New Roman"/>
                <w:bCs/>
                <w:color w:val="000000" w:themeColor="text1"/>
                <w:lang w:val="ro-RO"/>
              </w:rPr>
              <w:t>.</w:t>
            </w:r>
          </w:p>
        </w:tc>
        <w:tc>
          <w:tcPr>
            <w:tcW w:w="336" w:type="pct"/>
          </w:tcPr>
          <w:p w14:paraId="6D92EE8C" w14:textId="26804508"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38D65F28" w14:textId="3521DEC3" w:rsidR="0095772A" w:rsidRPr="003117B3" w:rsidRDefault="0095772A" w:rsidP="00F760A6">
            <w:pPr>
              <w:spacing w:line="276" w:lineRule="auto"/>
              <w:rPr>
                <w:rFonts w:ascii="Times New Roman" w:hAnsi="Times New Roman" w:cs="Times New Roman"/>
                <w:color w:val="000000" w:themeColor="text1"/>
                <w:lang w:val="ro-MD"/>
              </w:rPr>
            </w:pPr>
          </w:p>
        </w:tc>
        <w:tc>
          <w:tcPr>
            <w:tcW w:w="674" w:type="pct"/>
          </w:tcPr>
          <w:p w14:paraId="130D4365"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2B399C6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2C3AD54" w14:textId="3B5A1DB6"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(3) În sensul prezentului titlu, „valoarea justă a unui set de compensare” înseamnă suma dintre valorile juste ale tuturor tranzacţiilor incluse într-un set de compensare.</w:t>
            </w:r>
          </w:p>
        </w:tc>
        <w:tc>
          <w:tcPr>
            <w:tcW w:w="1249" w:type="pct"/>
          </w:tcPr>
          <w:p w14:paraId="47DD2683" w14:textId="1C69C036"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lang w:val="it-IT"/>
              </w:rPr>
              <w:t>109</w:t>
            </w:r>
            <w:r w:rsidRPr="003117B3">
              <w:rPr>
                <w:rFonts w:ascii="Times New Roman" w:eastAsia="Calibri" w:hAnsi="Times New Roman" w:cs="Times New Roman"/>
                <w:color w:val="000000" w:themeColor="text1"/>
                <w:vertAlign w:val="superscript"/>
                <w:lang w:val="it-IT"/>
              </w:rPr>
              <w:t>14</w:t>
            </w:r>
            <w:r w:rsidRPr="003117B3">
              <w:rPr>
                <w:rFonts w:ascii="Times New Roman" w:eastAsia="Calibri" w:hAnsi="Times New Roman" w:cs="Times New Roman"/>
                <w:color w:val="000000" w:themeColor="text1"/>
                <w:lang w:val="it-IT"/>
              </w:rPr>
              <w:t xml:space="preserve">. </w:t>
            </w:r>
            <w:r w:rsidRPr="003117B3">
              <w:rPr>
                <w:rFonts w:ascii="Times New Roman" w:eastAsia="Arial Unicode MS" w:hAnsi="Times New Roman" w:cs="Times New Roman"/>
                <w:bCs/>
                <w:color w:val="000000" w:themeColor="text1"/>
                <w:lang w:val="ro-RO"/>
              </w:rPr>
              <w:t xml:space="preserve">În sensul prezentului titlu, „valoarea justă a unui set de compensare” înseamnă suma dintre valorile juste ale tuturor tranzacţiilor incluse într-un set de compensare. </w:t>
            </w:r>
          </w:p>
        </w:tc>
        <w:tc>
          <w:tcPr>
            <w:tcW w:w="336" w:type="pct"/>
          </w:tcPr>
          <w:p w14:paraId="0A1B55DF" w14:textId="21E5197A"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55B9FD2A"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5B321417"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1B4CCA1F"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9D0D60C" w14:textId="0244C3A7"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(4) Fără a aduce atingere dispoziţiilor articolului 428ah alineatul (2), toate contractele derivate enumerate în anexa II punctul 2 literele (a)-(e), care implică un schimb complet al cuantumurilor principalului la aceeași dată, se calculează pe bază netă pentru diferitele monede, inclusiv în scopul raportării într-o monedă care face obiectul raportării separate în conformitate cu articolul 415 alineatul (2), chiar și în cazul în care tranzacţiile respective nu sunt incluse în același set de compensare care îndeplinește cerinţele prevăzute la articolul 429c alineatul (1).</w:t>
            </w:r>
          </w:p>
        </w:tc>
        <w:tc>
          <w:tcPr>
            <w:tcW w:w="1249" w:type="pct"/>
          </w:tcPr>
          <w:p w14:paraId="6BB05DE7" w14:textId="7162FB7A" w:rsidR="0095772A" w:rsidRPr="003117B3" w:rsidRDefault="0095772A" w:rsidP="009F1BC4">
            <w:pPr>
              <w:spacing w:after="0" w:line="276"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lang w:val="it-IT"/>
              </w:rPr>
              <w:t>109</w:t>
            </w:r>
            <w:r w:rsidRPr="003117B3">
              <w:rPr>
                <w:rFonts w:ascii="Times New Roman" w:eastAsia="Calibri" w:hAnsi="Times New Roman" w:cs="Times New Roman"/>
                <w:color w:val="000000" w:themeColor="text1"/>
                <w:vertAlign w:val="superscript"/>
                <w:lang w:val="it-IT"/>
              </w:rPr>
              <w:t>15</w:t>
            </w:r>
            <w:r w:rsidRPr="003117B3">
              <w:rPr>
                <w:rFonts w:ascii="Times New Roman" w:eastAsia="Calibri" w:hAnsi="Times New Roman" w:cs="Times New Roman"/>
                <w:color w:val="000000" w:themeColor="text1"/>
                <w:lang w:val="it-IT"/>
              </w:rPr>
              <w:t xml:space="preserve">. </w:t>
            </w:r>
            <w:r w:rsidR="009F1BC4" w:rsidRPr="003117B3">
              <w:rPr>
                <w:rFonts w:ascii="Times New Roman" w:eastAsia="Arial Unicode MS" w:hAnsi="Times New Roman" w:cs="Times New Roman"/>
                <w:bCs/>
                <w:color w:val="000000" w:themeColor="text1"/>
                <w:lang w:val="ro-RO"/>
              </w:rPr>
              <w:t>Fără a aduce atingere dispoziţiilor pct.109</w:t>
            </w:r>
            <w:r w:rsidR="009F1BC4" w:rsidRPr="003117B3">
              <w:rPr>
                <w:rFonts w:ascii="Times New Roman" w:eastAsia="Arial Unicode MS" w:hAnsi="Times New Roman" w:cs="Times New Roman"/>
                <w:bCs/>
                <w:color w:val="000000" w:themeColor="text1"/>
                <w:vertAlign w:val="superscript"/>
                <w:lang w:val="ro-RO"/>
              </w:rPr>
              <w:t>72</w:t>
            </w:r>
            <w:r w:rsidR="009F1BC4" w:rsidRPr="003117B3">
              <w:rPr>
                <w:rFonts w:ascii="Times New Roman" w:eastAsia="Arial Unicode MS" w:hAnsi="Times New Roman" w:cs="Times New Roman"/>
                <w:bCs/>
                <w:color w:val="000000" w:themeColor="text1"/>
                <w:lang w:val="ro-RO"/>
              </w:rPr>
              <w:t xml:space="preserve"> și 109</w:t>
            </w:r>
            <w:r w:rsidR="009F1BC4" w:rsidRPr="003117B3">
              <w:rPr>
                <w:rFonts w:ascii="Times New Roman" w:eastAsia="Arial Unicode MS" w:hAnsi="Times New Roman" w:cs="Times New Roman"/>
                <w:bCs/>
                <w:color w:val="000000" w:themeColor="text1"/>
                <w:vertAlign w:val="superscript"/>
                <w:lang w:val="ro-RO"/>
              </w:rPr>
              <w:t>73</w:t>
            </w:r>
            <w:r w:rsidR="009F1BC4" w:rsidRPr="003117B3">
              <w:rPr>
                <w:rFonts w:ascii="Times New Roman" w:eastAsia="Arial Unicode MS" w:hAnsi="Times New Roman" w:cs="Times New Roman"/>
                <w:bCs/>
                <w:color w:val="000000" w:themeColor="text1"/>
                <w:lang w:val="ro-RO"/>
              </w:rPr>
              <w:t>,</w:t>
            </w:r>
            <w:r w:rsidR="009F1BC4" w:rsidRPr="003117B3">
              <w:rPr>
                <w:rFonts w:ascii="Times New Roman" w:eastAsia="Arial Unicode MS" w:hAnsi="Times New Roman" w:cs="Times New Roman"/>
                <w:bCs/>
                <w:color w:val="000000" w:themeColor="text1"/>
                <w:sz w:val="24"/>
                <w:szCs w:val="24"/>
                <w:lang w:val="ro-RO"/>
              </w:rPr>
              <w:t xml:space="preserve"> </w:t>
            </w:r>
            <w:r w:rsidR="00DA0187" w:rsidRPr="003117B3">
              <w:rPr>
                <w:rFonts w:ascii="Times New Roman" w:eastAsia="Arial Unicode MS" w:hAnsi="Times New Roman" w:cs="Times New Roman"/>
                <w:bCs/>
                <w:color w:val="000000" w:themeColor="text1"/>
                <w:sz w:val="24"/>
                <w:szCs w:val="24"/>
                <w:lang w:val="ro-RO"/>
              </w:rPr>
              <w:t>t</w:t>
            </w:r>
            <w:r w:rsidRPr="003117B3">
              <w:rPr>
                <w:rFonts w:ascii="Times New Roman" w:eastAsia="Arial Unicode MS" w:hAnsi="Times New Roman" w:cs="Times New Roman"/>
                <w:bCs/>
                <w:color w:val="000000" w:themeColor="text1"/>
                <w:lang w:val="ro-RO"/>
              </w:rPr>
              <w:t xml:space="preserve">oate contractele derivate enumerate în anexa nr.1 subpct. 2) lit. a)-e) din Regulamentul nr.114/2018, care implică un schimb complet al cuantumurilor principalului la aceeași dată, se calculează pe bază netă pentru diferitele monede, inclusiv în scopul raportării într-o monedă care face obiectul raportării separate în conformitate cu </w:t>
            </w:r>
            <w:r w:rsidR="002A7F9F" w:rsidRPr="003117B3">
              <w:rPr>
                <w:rFonts w:ascii="Times New Roman" w:eastAsia="Arial Unicode MS" w:hAnsi="Times New Roman" w:cs="Times New Roman"/>
                <w:bCs/>
                <w:color w:val="000000" w:themeColor="text1"/>
                <w:lang w:val="ro-RO"/>
              </w:rPr>
              <w:t>pct.6</w:t>
            </w:r>
            <w:r w:rsidR="00AF7A6C" w:rsidRPr="003117B3">
              <w:rPr>
                <w:rFonts w:ascii="Times New Roman" w:eastAsia="Arial Unicode MS" w:hAnsi="Times New Roman" w:cs="Times New Roman"/>
                <w:bCs/>
                <w:color w:val="000000" w:themeColor="text1"/>
                <w:vertAlign w:val="superscript"/>
                <w:lang w:val="ro-RO"/>
              </w:rPr>
              <w:t>10</w:t>
            </w:r>
            <w:r w:rsidRPr="003117B3">
              <w:rPr>
                <w:rFonts w:ascii="Times New Roman" w:eastAsia="Arial Unicode MS" w:hAnsi="Times New Roman" w:cs="Times New Roman"/>
                <w:bCs/>
                <w:color w:val="000000" w:themeColor="text1"/>
                <w:lang w:val="ro-RO"/>
              </w:rPr>
              <w:t xml:space="preserve">, chiar și în cazul în care tranzacţiile respective nu sunt incluse în același set de compensare care îndeplinește cerinţele </w:t>
            </w:r>
            <w:r w:rsidRPr="003117B3">
              <w:rPr>
                <w:rFonts w:ascii="Times New Roman" w:eastAsia="Arial Unicode MS" w:hAnsi="Times New Roman" w:cs="Times New Roman"/>
                <w:bCs/>
                <w:color w:val="000000" w:themeColor="text1"/>
                <w:lang w:val="ro-RO"/>
              </w:rPr>
              <w:lastRenderedPageBreak/>
              <w:t xml:space="preserve">prevăzute la </w:t>
            </w:r>
            <w:r w:rsidR="002A7F9F" w:rsidRPr="003117B3">
              <w:rPr>
                <w:rFonts w:ascii="Times New Roman" w:eastAsia="Arial Unicode MS" w:hAnsi="Times New Roman" w:cs="Times New Roman"/>
                <w:bCs/>
                <w:color w:val="000000" w:themeColor="text1"/>
                <w:lang w:val="ro-RO"/>
              </w:rPr>
              <w:t>pct.17 din Regulamentul nr.274/2020.</w:t>
            </w:r>
          </w:p>
        </w:tc>
        <w:tc>
          <w:tcPr>
            <w:tcW w:w="336" w:type="pct"/>
          </w:tcPr>
          <w:p w14:paraId="680F550F" w14:textId="7D5666CF"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2F3F2141" w14:textId="5F3D9051"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23EB774F"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1F55E364"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18DB41D" w14:textId="38C2EE38"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(5) Fondurile în numerar primite ca garanţii reale pentru diminuarea expunerii unei poziţii pe instrumente financiare derivate sunt tratate ca atare, și nu ca depozite cărora li se aplică capitolul 3.</w:t>
            </w:r>
          </w:p>
        </w:tc>
        <w:tc>
          <w:tcPr>
            <w:tcW w:w="1249" w:type="pct"/>
          </w:tcPr>
          <w:p w14:paraId="74438942" w14:textId="28FB0FBB"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lang w:val="it-IT"/>
              </w:rPr>
              <w:t>109</w:t>
            </w:r>
            <w:r w:rsidRPr="003117B3">
              <w:rPr>
                <w:rFonts w:ascii="Times New Roman" w:eastAsia="Calibri" w:hAnsi="Times New Roman" w:cs="Times New Roman"/>
                <w:color w:val="000000" w:themeColor="text1"/>
                <w:vertAlign w:val="superscript"/>
                <w:lang w:val="it-IT"/>
              </w:rPr>
              <w:t>16</w:t>
            </w:r>
            <w:r w:rsidRPr="003117B3">
              <w:rPr>
                <w:rFonts w:ascii="Times New Roman" w:eastAsia="Calibri" w:hAnsi="Times New Roman" w:cs="Times New Roman"/>
                <w:color w:val="000000" w:themeColor="text1"/>
                <w:lang w:val="it-IT"/>
              </w:rPr>
              <w:t xml:space="preserve">. </w:t>
            </w:r>
            <w:r w:rsidRPr="003117B3">
              <w:rPr>
                <w:rFonts w:ascii="Times New Roman" w:eastAsia="Arial Unicode MS" w:hAnsi="Times New Roman" w:cs="Times New Roman"/>
                <w:bCs/>
                <w:color w:val="000000" w:themeColor="text1"/>
                <w:lang w:val="ro-RO"/>
              </w:rPr>
              <w:t>Fondurile în numerar primite ca garanţii reale pentru diminuarea expunerii unei poziţii pe instrumente financiare derivate sunt tratate ca atare, și nu ca depozite</w:t>
            </w:r>
            <w:r w:rsidR="005E26BC" w:rsidRPr="003117B3">
              <w:rPr>
                <w:rFonts w:ascii="Times New Roman" w:eastAsia="Arial Unicode MS" w:hAnsi="Times New Roman" w:cs="Times New Roman"/>
                <w:bCs/>
                <w:color w:val="000000" w:themeColor="text1"/>
                <w:lang w:val="ro-RO"/>
              </w:rPr>
              <w:t xml:space="preserve"> cărora li se aplică capitolul II</w:t>
            </w:r>
            <w:r w:rsidR="007F4F2F" w:rsidRPr="003117B3">
              <w:rPr>
                <w:rFonts w:ascii="Times New Roman" w:hAnsi="Times New Roman" w:cs="Times New Roman"/>
                <w:color w:val="000000" w:themeColor="text1"/>
                <w:lang w:val="it-IT"/>
              </w:rPr>
              <w:t xml:space="preserve"> </w:t>
            </w:r>
            <w:r w:rsidR="007F4F2F" w:rsidRPr="003117B3">
              <w:rPr>
                <w:rFonts w:ascii="Times New Roman" w:eastAsia="Arial Unicode MS" w:hAnsi="Times New Roman" w:cs="Times New Roman"/>
                <w:bCs/>
                <w:color w:val="000000" w:themeColor="text1"/>
                <w:lang w:val="ro-RO"/>
              </w:rPr>
              <w:t>din prezentul titlu</w:t>
            </w:r>
            <w:r w:rsidRPr="003117B3">
              <w:rPr>
                <w:rFonts w:ascii="Times New Roman" w:eastAsia="Arial Unicode MS" w:hAnsi="Times New Roman" w:cs="Times New Roman"/>
                <w:bCs/>
                <w:color w:val="000000" w:themeColor="text1"/>
                <w:lang w:val="ro-RO"/>
              </w:rPr>
              <w:t>.</w:t>
            </w:r>
          </w:p>
        </w:tc>
        <w:tc>
          <w:tcPr>
            <w:tcW w:w="336" w:type="pct"/>
          </w:tcPr>
          <w:p w14:paraId="5DF5A92D" w14:textId="0751698B" w:rsidR="0095772A" w:rsidRPr="003117B3" w:rsidRDefault="005E26BC" w:rsidP="0095772A">
            <w:pPr>
              <w:spacing w:line="276" w:lineRule="auto"/>
              <w:jc w:val="both"/>
              <w:rPr>
                <w:rFonts w:ascii="Times New Roman" w:hAnsi="Times New Roman" w:cs="Times New Roman"/>
                <w:b/>
                <w:color w:val="000000" w:themeColor="text1"/>
                <w:lang w:val="ro-RO"/>
              </w:rPr>
            </w:pPr>
            <w:r w:rsidRPr="003117B3">
              <w:rPr>
                <w:rFonts w:ascii="Times New Roman" w:hAnsi="Times New Roman" w:cs="Times New Roman"/>
                <w:b/>
                <w:color w:val="000000" w:themeColor="text1"/>
                <w:lang w:val="ro-MD"/>
              </w:rPr>
              <w:t>compatibil</w:t>
            </w:r>
          </w:p>
        </w:tc>
        <w:tc>
          <w:tcPr>
            <w:tcW w:w="1153" w:type="pct"/>
          </w:tcPr>
          <w:p w14:paraId="34681B75"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18F237DD"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43FF5391"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207862B"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(6) Autorităţile competente pot decide, cu aprobarea băncii centrale relevante, să renunţe la impactul contractelor cu instrumente financiare derivate asupra calculului indicatorului de finanţare stabilă netă, inclusiv prin stabilirea factorilor de finanţare stabilă necesară și a provizioanelor și pierderilor, dacă sunt îndeplinite cumulativ următoarele condiţii:</w:t>
            </w:r>
          </w:p>
          <w:p w14:paraId="45B2D01A"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respectivele contracte au o scadenţă reziduală mai mică de șase luni;</w:t>
            </w:r>
          </w:p>
          <w:p w14:paraId="77E63CEC"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contrapartea este BCE sau banca centrală a unui stat membru;</w:t>
            </w:r>
          </w:p>
          <w:p w14:paraId="56BC34E0"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contractele derivate servesc politicii monetare a BCE sau a băncii centrale a unui stat membru.</w:t>
            </w:r>
          </w:p>
          <w:p w14:paraId="45E8F9B7" w14:textId="0D455B0E"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În cazul în care o filială care își are sediul social într-o ţară terţă beneficiază de derogarea menţionată la primul paragraf în temeiul legislaţiei naţionale a ţării terţe respective care stabilește </w:t>
            </w:r>
            <w:r w:rsidRPr="003117B3">
              <w:rPr>
                <w:rFonts w:ascii="Times New Roman" w:hAnsi="Times New Roman" w:cs="Times New Roman"/>
                <w:color w:val="000000" w:themeColor="text1"/>
                <w:lang w:val="it-IT"/>
              </w:rPr>
              <w:lastRenderedPageBreak/>
              <w:t>cerinţa de finanţare stabilă netă, în vederea consolidării se ia în considerare respectiva derogare prevăzută în legislaţia naţională a ţării terţe.</w:t>
            </w:r>
          </w:p>
        </w:tc>
        <w:tc>
          <w:tcPr>
            <w:tcW w:w="1249" w:type="pct"/>
          </w:tcPr>
          <w:p w14:paraId="469DACDE"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Calibri" w:hAnsi="Times New Roman" w:cs="Times New Roman"/>
                <w:color w:val="000000" w:themeColor="text1"/>
                <w:lang w:val="it-IT"/>
              </w:rPr>
              <w:lastRenderedPageBreak/>
              <w:t>109</w:t>
            </w:r>
            <w:r w:rsidRPr="003117B3">
              <w:rPr>
                <w:rFonts w:ascii="Times New Roman" w:eastAsia="Calibri" w:hAnsi="Times New Roman" w:cs="Times New Roman"/>
                <w:color w:val="000000" w:themeColor="text1"/>
                <w:vertAlign w:val="superscript"/>
                <w:lang w:val="it-IT"/>
              </w:rPr>
              <w:t>17</w:t>
            </w:r>
            <w:r w:rsidRPr="003117B3">
              <w:rPr>
                <w:rFonts w:ascii="Times New Roman" w:eastAsia="Calibri" w:hAnsi="Times New Roman" w:cs="Times New Roman"/>
                <w:color w:val="000000" w:themeColor="text1"/>
                <w:lang w:val="it-IT"/>
              </w:rPr>
              <w:t xml:space="preserve">. </w:t>
            </w:r>
            <w:r w:rsidRPr="003117B3">
              <w:rPr>
                <w:rFonts w:ascii="Times New Roman" w:eastAsia="Arial Unicode MS" w:hAnsi="Times New Roman" w:cs="Times New Roman"/>
                <w:bCs/>
                <w:color w:val="000000" w:themeColor="text1"/>
                <w:lang w:val="ro-RO"/>
              </w:rPr>
              <w:t>BNM poate decide să renunţe la impactul contractelor cu instrumente financiare derivate asupra calculului indicatorului de finanţare stabilă netă, inclusiv prin stabilirea factorilor de finanţare stabilă necesară și a provizioanelor și pierderilor, dacă sunt îndeplinite cumulativ următoarele condiţii:</w:t>
            </w:r>
          </w:p>
          <w:p w14:paraId="29FD8A4E"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 respectivele contracte au o scadenţă reziduală mai mică de șase luni;</w:t>
            </w:r>
          </w:p>
          <w:p w14:paraId="7EAF9B03"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2) contrapartea este BNM;</w:t>
            </w:r>
          </w:p>
          <w:p w14:paraId="31DAC9A3"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3) contractele derivate servesc politicii monetare a BNM.</w:t>
            </w:r>
          </w:p>
          <w:p w14:paraId="15C0C5AA" w14:textId="3E025922"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lang w:val="ro-RO"/>
              </w:rPr>
              <w:t>109</w:t>
            </w:r>
            <w:r w:rsidRPr="003117B3">
              <w:rPr>
                <w:rFonts w:ascii="Times New Roman" w:eastAsia="Calibri" w:hAnsi="Times New Roman" w:cs="Times New Roman"/>
                <w:color w:val="000000" w:themeColor="text1"/>
                <w:vertAlign w:val="superscript"/>
                <w:lang w:val="ro-RO"/>
              </w:rPr>
              <w:t>18</w:t>
            </w:r>
            <w:r w:rsidRPr="003117B3">
              <w:rPr>
                <w:rFonts w:ascii="Times New Roman" w:eastAsia="Calibri" w:hAnsi="Times New Roman" w:cs="Times New Roman"/>
                <w:color w:val="000000" w:themeColor="text1"/>
                <w:lang w:val="ro-RO"/>
              </w:rPr>
              <w:t xml:space="preserve">. </w:t>
            </w:r>
            <w:r w:rsidRPr="003117B3">
              <w:rPr>
                <w:rFonts w:ascii="Times New Roman" w:eastAsia="Arial Unicode MS" w:hAnsi="Times New Roman" w:cs="Times New Roman"/>
                <w:bCs/>
                <w:color w:val="000000" w:themeColor="text1"/>
                <w:lang w:val="ro-RO"/>
              </w:rPr>
              <w:t xml:space="preserve">În cazul în care o filială care își are sediul </w:t>
            </w:r>
            <w:r w:rsidR="00D90D66" w:rsidRPr="003117B3">
              <w:rPr>
                <w:rFonts w:ascii="Times New Roman" w:eastAsia="Arial Unicode MS" w:hAnsi="Times New Roman" w:cs="Times New Roman"/>
                <w:bCs/>
                <w:color w:val="000000" w:themeColor="text1"/>
                <w:lang w:val="ro-RO"/>
              </w:rPr>
              <w:t>central</w:t>
            </w:r>
            <w:r w:rsidRPr="003117B3">
              <w:rPr>
                <w:rFonts w:ascii="Times New Roman" w:eastAsia="Arial Unicode MS" w:hAnsi="Times New Roman" w:cs="Times New Roman"/>
                <w:bCs/>
                <w:color w:val="000000" w:themeColor="text1"/>
                <w:lang w:val="ro-RO"/>
              </w:rPr>
              <w:t xml:space="preserve"> într-un alt stat beneficiază de derogarea menţionată la pct. </w:t>
            </w:r>
            <w:r w:rsidRPr="003117B3">
              <w:rPr>
                <w:rFonts w:ascii="Times New Roman" w:eastAsia="Calibri" w:hAnsi="Times New Roman" w:cs="Times New Roman"/>
                <w:color w:val="000000" w:themeColor="text1"/>
                <w:lang w:val="ro-RO"/>
              </w:rPr>
              <w:t>109</w:t>
            </w:r>
            <w:r w:rsidRPr="003117B3">
              <w:rPr>
                <w:rFonts w:ascii="Times New Roman" w:eastAsia="Calibri" w:hAnsi="Times New Roman" w:cs="Times New Roman"/>
                <w:color w:val="000000" w:themeColor="text1"/>
                <w:vertAlign w:val="superscript"/>
                <w:lang w:val="ro-RO"/>
              </w:rPr>
              <w:t>17</w:t>
            </w:r>
            <w:r w:rsidRPr="003117B3">
              <w:rPr>
                <w:rFonts w:ascii="Times New Roman" w:eastAsia="Calibri" w:hAnsi="Times New Roman" w:cs="Times New Roman"/>
                <w:color w:val="000000" w:themeColor="text1"/>
                <w:lang w:val="ro-RO"/>
              </w:rPr>
              <w:t xml:space="preserve"> </w:t>
            </w:r>
            <w:r w:rsidRPr="003117B3">
              <w:rPr>
                <w:rFonts w:ascii="Times New Roman" w:eastAsia="Arial Unicode MS" w:hAnsi="Times New Roman" w:cs="Times New Roman"/>
                <w:bCs/>
                <w:color w:val="000000" w:themeColor="text1"/>
                <w:lang w:val="ro-RO"/>
              </w:rPr>
              <w:t xml:space="preserve">în temeiul legislaţiei </w:t>
            </w:r>
            <w:r w:rsidRPr="003117B3">
              <w:rPr>
                <w:rFonts w:ascii="Times New Roman" w:eastAsia="Arial Unicode MS" w:hAnsi="Times New Roman" w:cs="Times New Roman"/>
                <w:bCs/>
                <w:color w:val="000000" w:themeColor="text1"/>
                <w:lang w:val="ro-RO"/>
              </w:rPr>
              <w:lastRenderedPageBreak/>
              <w:t>naţionale a statului respectiv care stabilește cerinţa de finanţare stabilă netă, în vederea consolidării se ia în considerare respectiva derogare prevăzută în legislaţia naţională a acestui stat.</w:t>
            </w:r>
          </w:p>
        </w:tc>
        <w:tc>
          <w:tcPr>
            <w:tcW w:w="336" w:type="pct"/>
          </w:tcPr>
          <w:p w14:paraId="1F6BB89E" w14:textId="33AFEE48"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02963F2C"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5902302F"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13145C5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F75A50A"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428e</w:t>
            </w:r>
          </w:p>
          <w:p w14:paraId="2F493D10" w14:textId="77777777" w:rsidR="0095772A" w:rsidRPr="003117B3" w:rsidRDefault="0095772A" w:rsidP="0095772A">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Compensarea tranzacţiilor de creditare garantate și a operaţiunilor ajustate la condiţiile pieţei de capital</w:t>
            </w:r>
          </w:p>
          <w:p w14:paraId="057F2C99" w14:textId="27B84CC8"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Activele și pasivele care rezultă din operaţiunile de finanţare prin titluri de valoare cu o singură contraparte se calculează pe bază netă, dacă respectivele active și pasive respectă condiţiile de compensare prevăzute la articolul 429b alineatul (4).</w:t>
            </w:r>
          </w:p>
        </w:tc>
        <w:tc>
          <w:tcPr>
            <w:tcW w:w="1249" w:type="pct"/>
          </w:tcPr>
          <w:p w14:paraId="6256D7EC" w14:textId="7FFC0670" w:rsidR="0095772A" w:rsidRPr="003117B3" w:rsidRDefault="0095772A" w:rsidP="0095772A">
            <w:pPr>
              <w:tabs>
                <w:tab w:val="left" w:pos="265"/>
              </w:tabs>
              <w:spacing w:after="120" w:line="240" w:lineRule="auto"/>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t>Secțiunea 4. Compensarea tranzacţiilor de creditare garantate și a operaţiunilor ajustate la c</w:t>
            </w:r>
            <w:r w:rsidR="00467591" w:rsidRPr="003117B3">
              <w:rPr>
                <w:rFonts w:ascii="Times New Roman" w:eastAsia="Arial Unicode MS" w:hAnsi="Times New Roman" w:cs="Times New Roman"/>
                <w:b/>
                <w:bCs/>
                <w:color w:val="000000" w:themeColor="text1"/>
                <w:lang w:val="ro-RO"/>
              </w:rPr>
              <w:t xml:space="preserve">ondiţiile pieţei de capital </w:t>
            </w:r>
          </w:p>
          <w:p w14:paraId="7ADEA166" w14:textId="7B224C35"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Calibri" w:hAnsi="Times New Roman" w:cs="Times New Roman"/>
                <w:color w:val="000000" w:themeColor="text1"/>
                <w:lang w:val="ro-RO"/>
              </w:rPr>
              <w:t>109</w:t>
            </w:r>
            <w:r w:rsidRPr="003117B3">
              <w:rPr>
                <w:rFonts w:ascii="Times New Roman" w:eastAsia="Calibri" w:hAnsi="Times New Roman" w:cs="Times New Roman"/>
                <w:color w:val="000000" w:themeColor="text1"/>
                <w:vertAlign w:val="superscript"/>
                <w:lang w:val="ro-RO"/>
              </w:rPr>
              <w:t>19</w:t>
            </w:r>
            <w:r w:rsidRPr="003117B3">
              <w:rPr>
                <w:rFonts w:ascii="Times New Roman" w:eastAsia="Calibri" w:hAnsi="Times New Roman" w:cs="Times New Roman"/>
                <w:color w:val="000000" w:themeColor="text1"/>
                <w:lang w:val="ro-RO"/>
              </w:rPr>
              <w:t xml:space="preserve">. </w:t>
            </w:r>
            <w:r w:rsidRPr="003117B3">
              <w:rPr>
                <w:rFonts w:ascii="Times New Roman" w:eastAsia="Arial Unicode MS" w:hAnsi="Times New Roman" w:cs="Times New Roman"/>
                <w:bCs/>
                <w:color w:val="000000" w:themeColor="text1"/>
                <w:lang w:val="ro-RO"/>
              </w:rPr>
              <w:t xml:space="preserve">Activele și pasivele care rezultă din operaţiunile de finanţare prin titluri de valoare cu o singură contraparte se calculează pe bază netă, dacă respectivele active și pasive respectă condiţiile de compensare prevăzute </w:t>
            </w:r>
            <w:r w:rsidR="00D90D66" w:rsidRPr="003117B3">
              <w:rPr>
                <w:rFonts w:ascii="Times New Roman" w:eastAsia="Arial Unicode MS" w:hAnsi="Times New Roman" w:cs="Times New Roman"/>
                <w:bCs/>
                <w:color w:val="000000" w:themeColor="text1"/>
                <w:lang w:val="ro-RO"/>
              </w:rPr>
              <w:t>în Regulamentul nr.274/2020</w:t>
            </w:r>
            <w:r w:rsidRPr="003117B3">
              <w:rPr>
                <w:rFonts w:ascii="Times New Roman" w:eastAsia="Arial Unicode MS" w:hAnsi="Times New Roman" w:cs="Times New Roman"/>
                <w:bCs/>
                <w:color w:val="000000" w:themeColor="text1"/>
                <w:lang w:val="ro-RO"/>
              </w:rPr>
              <w:t>.</w:t>
            </w:r>
          </w:p>
        </w:tc>
        <w:tc>
          <w:tcPr>
            <w:tcW w:w="336" w:type="pct"/>
          </w:tcPr>
          <w:p w14:paraId="49E2D29F" w14:textId="153ED203" w:rsidR="0095772A" w:rsidRPr="003117B3" w:rsidRDefault="005E26BC"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1DB6EE50" w14:textId="336DB942"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0DE130A8"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3C6B8BEE"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0181135" w14:textId="77777777"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Articolul 428f</w:t>
            </w:r>
          </w:p>
          <w:p w14:paraId="16591638" w14:textId="77777777"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Active și pasive interdependente</w:t>
            </w:r>
          </w:p>
          <w:p w14:paraId="72B60E66" w14:textId="77777777"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(1) Sub rezerva aprobării prealabile a autorităţilor competente, instituţiile pot trata un activ și un pasiv ca fiind interdependente, dacă sunt îndeplinite cumulativ următoarele condiţii:</w:t>
            </w:r>
          </w:p>
          <w:p w14:paraId="4D5357C4" w14:textId="77777777"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(a) instituţia acţionează doar ca unitate de tipul „pass-through” pentru a canaliza finanţarea de la pasiv către activul interdependent corespunzător;</w:t>
            </w:r>
          </w:p>
          <w:p w14:paraId="115AC5A9" w14:textId="77777777"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lastRenderedPageBreak/>
              <w:t>(b) activele și pasivele interdependente individuale pot fi identificate în mod clar și au aceeași valoare a principalului;</w:t>
            </w:r>
          </w:p>
          <w:p w14:paraId="625D947F" w14:textId="77777777"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(c) activul și pasivul interdependent au scadenţe corelate în mod substanţial, cu o diferenţă maximă de 20 de zile între scadenţa activului și cea a pasivului;</w:t>
            </w:r>
          </w:p>
          <w:p w14:paraId="3B16BD81" w14:textId="77777777"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(d) pasivul interdependent a fost solicitat în temeiul unui angajament juridic, de reglementare sau contractual și nu este utilizat pentru a finanţa alte active;</w:t>
            </w:r>
          </w:p>
          <w:p w14:paraId="7270D0E2"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(e) fluxurile plăţii principalului din activ nu sunt utilizate în alte scopuri decât rambursarea pasivului interdependent;</w:t>
            </w:r>
          </w:p>
          <w:p w14:paraId="491DF147" w14:textId="21907CF2"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(f) contrapărţile pentru fiecare pereche de active și pasive interdependente sunt diferite.</w:t>
            </w:r>
          </w:p>
        </w:tc>
        <w:tc>
          <w:tcPr>
            <w:tcW w:w="1249" w:type="pct"/>
          </w:tcPr>
          <w:p w14:paraId="707333E4" w14:textId="5313C006" w:rsidR="0095772A" w:rsidRPr="003117B3" w:rsidRDefault="0095772A" w:rsidP="0095772A">
            <w:pPr>
              <w:tabs>
                <w:tab w:val="left" w:pos="265"/>
              </w:tabs>
              <w:spacing w:after="120" w:line="240" w:lineRule="auto"/>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lastRenderedPageBreak/>
              <w:t xml:space="preserve">Secțiunea 5. Active și pasive interdependente </w:t>
            </w:r>
          </w:p>
          <w:p w14:paraId="0E9A9D94" w14:textId="741D343B"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Calibri" w:hAnsi="Times New Roman" w:cs="Times New Roman"/>
                <w:color w:val="000000" w:themeColor="text1"/>
                <w:lang w:val="ro-RO"/>
              </w:rPr>
              <w:t>109</w:t>
            </w:r>
            <w:r w:rsidRPr="003117B3">
              <w:rPr>
                <w:rFonts w:ascii="Times New Roman" w:eastAsia="Calibri" w:hAnsi="Times New Roman" w:cs="Times New Roman"/>
                <w:color w:val="000000" w:themeColor="text1"/>
                <w:vertAlign w:val="superscript"/>
                <w:lang w:val="ro-RO"/>
              </w:rPr>
              <w:t>20</w:t>
            </w:r>
            <w:r w:rsidRPr="003117B3">
              <w:rPr>
                <w:rFonts w:ascii="Times New Roman" w:eastAsia="Calibri" w:hAnsi="Times New Roman" w:cs="Times New Roman"/>
                <w:color w:val="000000" w:themeColor="text1"/>
                <w:lang w:val="ro-RO"/>
              </w:rPr>
              <w:t xml:space="preserve">. </w:t>
            </w:r>
            <w:r w:rsidR="006A154F" w:rsidRPr="003117B3">
              <w:rPr>
                <w:rFonts w:ascii="Times New Roman" w:eastAsia="Arial Unicode MS" w:hAnsi="Times New Roman" w:cs="Times New Roman"/>
                <w:bCs/>
                <w:color w:val="000000" w:themeColor="text1"/>
                <w:lang w:val="ro-RO"/>
              </w:rPr>
              <w:t xml:space="preserve">Cu aprobarea prealabilă </w:t>
            </w:r>
            <w:r w:rsidRPr="003117B3">
              <w:rPr>
                <w:rFonts w:ascii="Times New Roman" w:eastAsia="Arial Unicode MS" w:hAnsi="Times New Roman" w:cs="Times New Roman"/>
                <w:bCs/>
                <w:color w:val="000000" w:themeColor="text1"/>
                <w:lang w:val="ro-RO"/>
              </w:rPr>
              <w:t>a BNM, băncile pot trata un activ și un pasiv ca fiind interdependente, dacă sunt îndeplinite cumulativ următoarele condiţii:</w:t>
            </w:r>
          </w:p>
          <w:p w14:paraId="5C9BF208"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banca acţionează doar ca unitate de tipul „pass-through” pentru a canaliza </w:t>
            </w:r>
            <w:r w:rsidRPr="003117B3">
              <w:rPr>
                <w:rFonts w:ascii="Times New Roman" w:eastAsia="Arial Unicode MS" w:hAnsi="Times New Roman" w:cs="Times New Roman"/>
                <w:bCs/>
                <w:color w:val="000000" w:themeColor="text1"/>
                <w:lang w:val="ro-RO"/>
              </w:rPr>
              <w:lastRenderedPageBreak/>
              <w:t>finanţarea de la pasiv către activul interdependent corespunzător;</w:t>
            </w:r>
          </w:p>
          <w:p w14:paraId="65A110BE"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2) activele și pasivele interdependente individuale pot fi identificate în mod clar și au aceeași valoare a principalului;</w:t>
            </w:r>
          </w:p>
          <w:p w14:paraId="6F0C422E"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3) activul și pasivul interdependent au scadenţe corelate în mod substanţial, cu o diferenţă maximă de 20 de zile între scadenţa activului și cea a pasivului;</w:t>
            </w:r>
          </w:p>
          <w:p w14:paraId="4453D3E6"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4) pasivul interdependent a fost solicitat în temeiul unui angajament juridic, de reglementare sau contractual și nu este utilizat pentru a finanţa alte active;</w:t>
            </w:r>
          </w:p>
          <w:p w14:paraId="5EF4FBB0"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5) fluxurile plăţii principalului din activ nu sunt utilizate în alte scopuri decât rambursarea pasivului interdependent;</w:t>
            </w:r>
          </w:p>
          <w:p w14:paraId="1CBE0012" w14:textId="414A5619" w:rsidR="0095772A" w:rsidRPr="003117B3" w:rsidRDefault="0095772A"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6) contrapărţile pentru fiecare pereche de active și pasive interdependente sunt diferite.</w:t>
            </w:r>
          </w:p>
        </w:tc>
        <w:tc>
          <w:tcPr>
            <w:tcW w:w="336" w:type="pct"/>
          </w:tcPr>
          <w:p w14:paraId="40156CC2" w14:textId="7C5CD8D4" w:rsidR="0095772A" w:rsidRPr="003117B3" w:rsidRDefault="0044084B"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10FA2D7D" w14:textId="77777777" w:rsidR="0095772A" w:rsidRPr="003117B3" w:rsidRDefault="0095772A" w:rsidP="0095772A">
            <w:pPr>
              <w:spacing w:line="276" w:lineRule="auto"/>
              <w:rPr>
                <w:rFonts w:ascii="Times New Roman" w:hAnsi="Times New Roman" w:cs="Times New Roman"/>
                <w:color w:val="000000" w:themeColor="text1"/>
                <w:lang w:val="ro-MD"/>
              </w:rPr>
            </w:pPr>
          </w:p>
        </w:tc>
        <w:tc>
          <w:tcPr>
            <w:tcW w:w="674" w:type="pct"/>
          </w:tcPr>
          <w:p w14:paraId="68AFD42C"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7F6CC87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7E4CDB1" w14:textId="77777777" w:rsidR="0095772A" w:rsidRPr="003117B3" w:rsidRDefault="0095772A" w:rsidP="0095772A">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lastRenderedPageBreak/>
              <w:t>(2) Activele și pasivele sunt considerate ca îndeplinind condiţiile prevăzute la alineatul (1) și ca fiind interdependente în cazul în care sunt legate direct de următoarele produse sau servicii:</w:t>
            </w:r>
          </w:p>
          <w:p w14:paraId="6FB3B28D"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economiile reglementate centralizate, cu condiţia ca instituţiile să fie obligate din punct de vedere juridic să transfere depozitele reglementate către un fond centralizat care este creat și controlat de administraţia centrală a unui stat membru și care pune la dispoziţie credite pentru a promova obiective de interes public și cu condiţia ca transferul de depozite către fondul centralizat să aibă loc cel puţin o dată pe lună;</w:t>
            </w:r>
          </w:p>
          <w:p w14:paraId="5BD5AE5A"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creditele promoţionale și facilităţile de credit și de lichiditate care îndeplinesc criteriile stabilite în actul delegat menţionat la articolul 460 alineatul (1) pentru instituţiile care acţionează ca simpli intermediari și care nu înregistrează niciun risc de finanţare;</w:t>
            </w:r>
          </w:p>
          <w:p w14:paraId="2F8E9886"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obligaţiunile garantate care îndeplinesc cumulativ următoarele condiţii:</w:t>
            </w:r>
          </w:p>
          <w:p w14:paraId="0C7E20C1"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(i) sunt obligaţiuni menţionate la articolul 52 alineatul (4) din Directiva 2009/65/CE sau îndeplinesc condiţiile de eligibilitate pentru </w:t>
            </w:r>
            <w:r w:rsidRPr="003117B3">
              <w:rPr>
                <w:rFonts w:ascii="Times New Roman" w:hAnsi="Times New Roman" w:cs="Times New Roman"/>
                <w:color w:val="000000" w:themeColor="text1"/>
                <w:lang w:val="it-IT"/>
              </w:rPr>
              <w:lastRenderedPageBreak/>
              <w:t>tratamentul prevăzut la articolul 129 alineatul (4) sau (5) din prezentul regulament;</w:t>
            </w:r>
          </w:p>
          <w:p w14:paraId="5DBB37F2" w14:textId="77777777"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împrumuturile-suport sunt finanţate în mod echivalent prin obligaţiunile garantate care au fost emise sau obligaţiunile garantate au factori nediscreţionari de declanșare a prelungirii scadenţei cu un an sau mai mult până la scadenţa împrumuturilor-suport în cazul eșecului refinanţării la data scadenţei obligaţiunii garantate;</w:t>
            </w:r>
          </w:p>
          <w:p w14:paraId="1195676B" w14:textId="6B14AACE" w:rsidR="0095772A" w:rsidRPr="003117B3" w:rsidRDefault="0095772A" w:rsidP="0095772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 activităţile de compensare a instrumentelor financiare derivate pentru clienţi, dacă instituţia nu oferă clienţilor săi garanţii privind rezultatele CPC-ului și, prin urmare, nu suportă niciun risc de finanţare.</w:t>
            </w:r>
          </w:p>
        </w:tc>
        <w:tc>
          <w:tcPr>
            <w:tcW w:w="1249" w:type="pct"/>
          </w:tcPr>
          <w:p w14:paraId="4F4C44D1" w14:textId="77777777" w:rsidR="0095772A" w:rsidRPr="003117B3" w:rsidRDefault="0095772A" w:rsidP="0095772A">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Calibri" w:hAnsi="Times New Roman" w:cs="Times New Roman"/>
                <w:color w:val="000000" w:themeColor="text1"/>
                <w:lang w:val="ro-RO"/>
              </w:rPr>
              <w:lastRenderedPageBreak/>
              <w:t>109</w:t>
            </w:r>
            <w:r w:rsidRPr="003117B3">
              <w:rPr>
                <w:rFonts w:ascii="Times New Roman" w:eastAsia="Calibri" w:hAnsi="Times New Roman" w:cs="Times New Roman"/>
                <w:color w:val="000000" w:themeColor="text1"/>
                <w:vertAlign w:val="superscript"/>
                <w:lang w:val="ro-RO"/>
              </w:rPr>
              <w:t>21</w:t>
            </w:r>
            <w:r w:rsidRPr="003117B3">
              <w:rPr>
                <w:rFonts w:ascii="Times New Roman" w:eastAsia="Calibri" w:hAnsi="Times New Roman" w:cs="Times New Roman"/>
                <w:color w:val="000000" w:themeColor="text1"/>
                <w:lang w:val="ro-RO"/>
              </w:rPr>
              <w:t xml:space="preserve">. </w:t>
            </w:r>
            <w:r w:rsidRPr="003117B3">
              <w:rPr>
                <w:rFonts w:ascii="Times New Roman" w:eastAsia="Arial Unicode MS" w:hAnsi="Times New Roman" w:cs="Times New Roman"/>
                <w:bCs/>
                <w:color w:val="000000" w:themeColor="text1"/>
                <w:lang w:val="ro-RO"/>
              </w:rPr>
              <w:t xml:space="preserve">Activele și pasivele sunt considerate ca îndeplinind condiţiile prevăzute la pct. </w:t>
            </w:r>
            <w:r w:rsidRPr="003117B3">
              <w:rPr>
                <w:rFonts w:ascii="Times New Roman" w:eastAsia="Calibri" w:hAnsi="Times New Roman" w:cs="Times New Roman"/>
                <w:color w:val="000000" w:themeColor="text1"/>
                <w:lang w:val="ro-RO"/>
              </w:rPr>
              <w:t>109</w:t>
            </w:r>
            <w:r w:rsidRPr="003117B3">
              <w:rPr>
                <w:rFonts w:ascii="Times New Roman" w:eastAsia="Calibri" w:hAnsi="Times New Roman" w:cs="Times New Roman"/>
                <w:color w:val="000000" w:themeColor="text1"/>
                <w:vertAlign w:val="superscript"/>
                <w:lang w:val="ro-RO"/>
              </w:rPr>
              <w:t>20</w:t>
            </w:r>
            <w:r w:rsidRPr="003117B3">
              <w:rPr>
                <w:rFonts w:ascii="Times New Roman" w:eastAsia="Calibri" w:hAnsi="Times New Roman" w:cs="Times New Roman"/>
                <w:color w:val="000000" w:themeColor="text1"/>
                <w:lang w:val="ro-RO"/>
              </w:rPr>
              <w:t xml:space="preserve"> </w:t>
            </w:r>
            <w:r w:rsidRPr="003117B3">
              <w:rPr>
                <w:rFonts w:ascii="Times New Roman" w:eastAsia="Arial Unicode MS" w:hAnsi="Times New Roman" w:cs="Times New Roman"/>
                <w:bCs/>
                <w:color w:val="000000" w:themeColor="text1"/>
                <w:lang w:val="ro-RO"/>
              </w:rPr>
              <w:t>și ca fiind interdependente în cazul în care sunt legate direct de următoarele produse sau servicii:</w:t>
            </w:r>
          </w:p>
          <w:p w14:paraId="59CD6CED" w14:textId="77777777" w:rsidR="002E5180" w:rsidRPr="003117B3" w:rsidRDefault="002E5180" w:rsidP="002E5180">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facilităţile de credit și de lichiditate care îndeplinesc criteriile stabilite în titlul II pentru băncile care acţionează ca simpli intermediari și care nu înregistrează niciun risc de finanţare; </w:t>
            </w:r>
          </w:p>
          <w:p w14:paraId="2BAD3908" w14:textId="38D8A1F4" w:rsidR="0095772A" w:rsidRPr="003117B3" w:rsidRDefault="002E5180" w:rsidP="002E5180">
            <w:pPr>
              <w:spacing w:after="0" w:line="276"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2) activităţile de compensare a instrumentelor financiare derivate pentru clienţi, dacă banca nu oferă clienţilor săi garanţii privind rezultatele CPC-ului  și, prin urmare, nu suportă niciun risc de finanţare.</w:t>
            </w:r>
          </w:p>
        </w:tc>
        <w:tc>
          <w:tcPr>
            <w:tcW w:w="336" w:type="pct"/>
          </w:tcPr>
          <w:p w14:paraId="2F71B47C" w14:textId="22BCB94D" w:rsidR="0095772A" w:rsidRPr="003117B3" w:rsidRDefault="0044084B" w:rsidP="0095772A">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parțial compatibil</w:t>
            </w:r>
          </w:p>
        </w:tc>
        <w:tc>
          <w:tcPr>
            <w:tcW w:w="1153" w:type="pct"/>
          </w:tcPr>
          <w:p w14:paraId="164BCFBA" w14:textId="77777777" w:rsidR="00C92EA9" w:rsidRPr="003117B3" w:rsidRDefault="00C92EA9" w:rsidP="00C92EA9">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Nu au fost transpuse prevederile:</w:t>
            </w:r>
          </w:p>
          <w:p w14:paraId="47EBBE10" w14:textId="10BCE4FB" w:rsidR="0095772A" w:rsidRPr="003117B3" w:rsidRDefault="00C92EA9" w:rsidP="00C92EA9">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lit.</w:t>
            </w:r>
            <w:r w:rsidR="008708CD" w:rsidRPr="003117B3">
              <w:rPr>
                <w:rFonts w:ascii="Times New Roman" w:hAnsi="Times New Roman" w:cs="Times New Roman"/>
                <w:color w:val="000000" w:themeColor="text1"/>
                <w:lang w:val="ro-MD"/>
              </w:rPr>
              <w:t>(</w:t>
            </w:r>
            <w:r w:rsidRPr="003117B3">
              <w:rPr>
                <w:rFonts w:ascii="Times New Roman" w:hAnsi="Times New Roman" w:cs="Times New Roman"/>
                <w:color w:val="000000" w:themeColor="text1"/>
                <w:lang w:val="ro-MD"/>
              </w:rPr>
              <w:t>a) – inexistența unui astfel de produs /serviciu pe piața RM;</w:t>
            </w:r>
          </w:p>
          <w:p w14:paraId="3EAA2F97" w14:textId="0CC71E41" w:rsidR="00C92EA9" w:rsidRPr="003117B3" w:rsidRDefault="00C92EA9" w:rsidP="00C92EA9">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prevederile </w:t>
            </w:r>
            <w:r w:rsidR="002E5180" w:rsidRPr="003117B3">
              <w:rPr>
                <w:rFonts w:ascii="Times New Roman" w:hAnsi="Times New Roman" w:cs="Times New Roman"/>
                <w:color w:val="000000" w:themeColor="text1"/>
                <w:lang w:val="ro-MD"/>
              </w:rPr>
              <w:t xml:space="preserve">de la lit.(b) </w:t>
            </w:r>
            <w:r w:rsidRPr="003117B3">
              <w:rPr>
                <w:rFonts w:ascii="Times New Roman" w:hAnsi="Times New Roman" w:cs="Times New Roman"/>
                <w:color w:val="000000" w:themeColor="text1"/>
                <w:lang w:val="ro-MD"/>
              </w:rPr>
              <w:t xml:space="preserve">aferente creditelor promoționale </w:t>
            </w:r>
            <w:r w:rsidR="002E5180" w:rsidRPr="003117B3">
              <w:rPr>
                <w:rFonts w:ascii="Times New Roman" w:hAnsi="Times New Roman" w:cs="Times New Roman"/>
                <w:color w:val="000000" w:themeColor="text1"/>
                <w:lang w:val="ro-MD"/>
              </w:rPr>
              <w:t xml:space="preserve">- </w:t>
            </w:r>
            <w:r w:rsidRPr="003117B3">
              <w:rPr>
                <w:rFonts w:ascii="Times New Roman" w:hAnsi="Times New Roman" w:cs="Times New Roman"/>
                <w:color w:val="000000" w:themeColor="text1"/>
                <w:lang w:val="ro-MD"/>
              </w:rPr>
              <w:t>se referă doar la instituțiile de credit care au fost înființate și sunt sponsorizate de administrația centrală sau de o administrație regională din cel puțin un stat membru. Astfel de bănci lipsesc pe piața Republicii Moldova</w:t>
            </w:r>
            <w:r w:rsidR="00561B42" w:rsidRPr="003117B3">
              <w:rPr>
                <w:color w:val="000000" w:themeColor="text1"/>
                <w:lang w:val="ro-MD"/>
              </w:rPr>
              <w:t xml:space="preserve"> </w:t>
            </w:r>
            <w:r w:rsidR="00561B42" w:rsidRPr="003117B3">
              <w:rPr>
                <w:rFonts w:ascii="Times New Roman" w:hAnsi="Times New Roman" w:cs="Times New Roman"/>
                <w:color w:val="000000" w:themeColor="text1"/>
                <w:lang w:val="ro-MD"/>
              </w:rPr>
              <w:t>și nu sunt reglementate de cadrul primar</w:t>
            </w:r>
            <w:r w:rsidRPr="003117B3">
              <w:rPr>
                <w:rFonts w:ascii="Times New Roman" w:hAnsi="Times New Roman" w:cs="Times New Roman"/>
                <w:color w:val="000000" w:themeColor="text1"/>
                <w:lang w:val="ro-MD"/>
              </w:rPr>
              <w:t>.</w:t>
            </w:r>
          </w:p>
          <w:p w14:paraId="3825C4F3" w14:textId="618EA1E1" w:rsidR="00C92EA9" w:rsidRPr="003117B3" w:rsidRDefault="00323AC1" w:rsidP="00C92EA9">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l</w:t>
            </w:r>
            <w:r w:rsidR="00C92EA9" w:rsidRPr="003117B3">
              <w:rPr>
                <w:rFonts w:ascii="Times New Roman" w:hAnsi="Times New Roman" w:cs="Times New Roman"/>
                <w:color w:val="000000" w:themeColor="text1"/>
                <w:lang w:val="ro-MD"/>
              </w:rPr>
              <w:t>it.</w:t>
            </w:r>
            <w:r w:rsidR="008708CD" w:rsidRPr="003117B3">
              <w:rPr>
                <w:rFonts w:ascii="Times New Roman" w:hAnsi="Times New Roman" w:cs="Times New Roman"/>
                <w:color w:val="000000" w:themeColor="text1"/>
                <w:lang w:val="ro-MD"/>
              </w:rPr>
              <w:t>(</w:t>
            </w:r>
            <w:r w:rsidR="00C92EA9" w:rsidRPr="003117B3">
              <w:rPr>
                <w:rFonts w:ascii="Times New Roman" w:hAnsi="Times New Roman" w:cs="Times New Roman"/>
                <w:color w:val="000000" w:themeColor="text1"/>
                <w:lang w:val="ro-MD"/>
              </w:rPr>
              <w:t>c) - prevederile aferente obligațiunilor garantate nu au fost transpuse, deoarece aceste instrumente lipsesc pe piața Republicii Moldova</w:t>
            </w:r>
            <w:r w:rsidR="00561B42" w:rsidRPr="003117B3">
              <w:rPr>
                <w:color w:val="000000" w:themeColor="text1"/>
                <w:lang w:val="ro-MD"/>
              </w:rPr>
              <w:t xml:space="preserve"> </w:t>
            </w:r>
            <w:r w:rsidR="00561B42" w:rsidRPr="003117B3">
              <w:rPr>
                <w:rFonts w:ascii="Times New Roman" w:hAnsi="Times New Roman" w:cs="Times New Roman"/>
                <w:color w:val="000000" w:themeColor="text1"/>
                <w:lang w:val="ro-MD"/>
              </w:rPr>
              <w:t>și nu sunt reglementate de cadrul primar</w:t>
            </w:r>
            <w:r w:rsidR="00C92EA9" w:rsidRPr="003117B3">
              <w:rPr>
                <w:rFonts w:ascii="Times New Roman" w:hAnsi="Times New Roman" w:cs="Times New Roman"/>
                <w:color w:val="000000" w:themeColor="text1"/>
                <w:lang w:val="ro-MD"/>
              </w:rPr>
              <w:t>.</w:t>
            </w:r>
          </w:p>
        </w:tc>
        <w:tc>
          <w:tcPr>
            <w:tcW w:w="674" w:type="pct"/>
          </w:tcPr>
          <w:p w14:paraId="1C017832" w14:textId="77777777" w:rsidR="0095772A" w:rsidRPr="003117B3" w:rsidRDefault="0095772A" w:rsidP="0095772A">
            <w:pPr>
              <w:spacing w:line="276" w:lineRule="auto"/>
              <w:jc w:val="both"/>
              <w:rPr>
                <w:rFonts w:ascii="Times New Roman" w:hAnsi="Times New Roman" w:cs="Times New Roman"/>
                <w:b/>
                <w:color w:val="000000" w:themeColor="text1"/>
                <w:lang w:val="ro-MD"/>
              </w:rPr>
            </w:pPr>
          </w:p>
        </w:tc>
      </w:tr>
      <w:tr w:rsidR="003117B3" w:rsidRPr="003117B3" w14:paraId="54ED30A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C01592E" w14:textId="5D8C5138"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(3) ABE monitorizează activele și pasivele, precum și produsele și serviciile care sunt tratate ca fiind active și pasive interdependente în conformitate cu alineatele (1) și (2), pentru a determina dacă și în ce măsură sunt îndeplinite criteriile de eligibilitate prevăzute la alineatul (1). ABE prezintă Comisiei un raport privind rezultatele monitorizării și consiliază Comisia dacă ar fi necesară o modificare a condiţiilor specificate la alineatul (1) sau o modificare a listei de produse și servicii de la alineatul (2).</w:t>
            </w:r>
          </w:p>
        </w:tc>
        <w:tc>
          <w:tcPr>
            <w:tcW w:w="1249" w:type="pct"/>
          </w:tcPr>
          <w:p w14:paraId="4AC71559"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528AD6CA" w14:textId="4DA751DF"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RO"/>
              </w:rPr>
              <w:t>Nu se transpune</w:t>
            </w:r>
          </w:p>
        </w:tc>
        <w:tc>
          <w:tcPr>
            <w:tcW w:w="1153" w:type="pct"/>
          </w:tcPr>
          <w:p w14:paraId="335EECF5" w14:textId="26FCC842"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RO"/>
              </w:rPr>
              <w:t>Prevederile se aplică statelor membre ale UE.</w:t>
            </w:r>
          </w:p>
        </w:tc>
        <w:tc>
          <w:tcPr>
            <w:tcW w:w="674" w:type="pct"/>
          </w:tcPr>
          <w:p w14:paraId="5BB54A38"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7637E8F1"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77B7F93"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lastRenderedPageBreak/>
              <w:t>Articolul 428g</w:t>
            </w:r>
          </w:p>
          <w:p w14:paraId="37DA1567"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Depozite în sisteme instituţionale de protecţie și reţele cooperatiste</w:t>
            </w:r>
          </w:p>
          <w:p w14:paraId="4473D294"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În cazul în care o instituţie aparţine unui sistem instituţional de protecţie de tipul celui menţionat la articolul 113 alineatul (7), unei reţele care este eligibilă pentru derogarea prevăzută la articolul 10 sau unei reţele cooperatiste dintr-un stat membru, depozitele la vedere pe care instituţia le menţine la instituţia centrală și pe care instituţia care beneficiază de serviciile de depozitare le consideră active lichide în temeiul actului delegat menţionat la articolul 460 alineatul (1), fac obiectul următoarelor cerinţe:</w:t>
            </w:r>
          </w:p>
          <w:p w14:paraId="2A626084"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instituţia care beneficiază de serviciile de depozitare aplică factorul de finanţare stabilă necesară în conformitate cu capitolul 4 secţiunea 2, în funcţie de tratamentul acestor depozite la vedere ca active de nivel 1, nivel 2A sau nivel 2B, în temeiul actului delegat menţionat la articolul 460 alineatul (1) și în funcţie de ajustarea relevantă aplicată acestor depozite la vedere pentru calcularea indicatorului de acoperire a necesarului de lichiditate;</w:t>
            </w:r>
          </w:p>
          <w:p w14:paraId="13617ED2" w14:textId="1B1D7F3F"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lastRenderedPageBreak/>
              <w:t>(b) instituţia centrală care primește depozitul aplică factorul corespunzător simetric de finanţare stabilă disponibilă.</w:t>
            </w:r>
          </w:p>
        </w:tc>
        <w:tc>
          <w:tcPr>
            <w:tcW w:w="1249" w:type="pct"/>
          </w:tcPr>
          <w:p w14:paraId="1E4AED59"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3B802581" w14:textId="5D52B6B0"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3E2BAC37" w14:textId="5A0A057D"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aferente sistemelor instituționale de protecție și reţelor cooperatiste nu au fost transpuse din CRR deoarece astfel de sisteme /rețele lipsesc pe piața Republicii Moldova</w:t>
            </w:r>
            <w:r w:rsidR="00561B42" w:rsidRPr="003117B3">
              <w:rPr>
                <w:color w:val="000000" w:themeColor="text1"/>
                <w:lang w:val="it-IT"/>
              </w:rPr>
              <w:t xml:space="preserve"> </w:t>
            </w:r>
            <w:r w:rsidR="00561B42" w:rsidRPr="003117B3">
              <w:rPr>
                <w:rFonts w:ascii="Times New Roman" w:hAnsi="Times New Roman" w:cs="Times New Roman"/>
                <w:color w:val="000000" w:themeColor="text1"/>
                <w:lang w:val="ro-MD"/>
              </w:rPr>
              <w:t>și nu sunt reglementate de cadrul primar</w:t>
            </w:r>
            <w:r w:rsidRPr="003117B3">
              <w:rPr>
                <w:rFonts w:ascii="Times New Roman" w:hAnsi="Times New Roman" w:cs="Times New Roman"/>
                <w:color w:val="000000" w:themeColor="text1"/>
                <w:lang w:val="ro-MD"/>
              </w:rPr>
              <w:t>.</w:t>
            </w:r>
          </w:p>
        </w:tc>
        <w:tc>
          <w:tcPr>
            <w:tcW w:w="674" w:type="pct"/>
          </w:tcPr>
          <w:p w14:paraId="2C7A9877"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DC7D69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F0DA8CC"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428h</w:t>
            </w:r>
          </w:p>
          <w:p w14:paraId="0A116A10"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Tratamentul preferenţial în cadrul unui grup sau al unui sistem instituţional de protecţie</w:t>
            </w:r>
          </w:p>
          <w:p w14:paraId="43A1DDB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(1) Prin derogare de la capitolele 3 și 4 și în cazul în care nu se aplică articolul 428g, autorităţile competente pot autoriza instituţiile, dela caz la caz, să aplice un factor mai mare de finanţare stabilă disponibilă sau un factor mai mic de finanţare stabilă necesară activelor, datoriilor și facilităţilor de lichiditate sau de credit angajate, dacă sunt îndeplinite cumulativ următoarele condiţii:</w:t>
            </w:r>
          </w:p>
          <w:p w14:paraId="33C27C69"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contrapartea este:</w:t>
            </w:r>
          </w:p>
          <w:p w14:paraId="472B88F5"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instituţia-mamă sau o filială a instituţiei;</w:t>
            </w:r>
          </w:p>
          <w:p w14:paraId="6C31FD69"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o altă filială a aceleiași instituţii-mamă;</w:t>
            </w:r>
          </w:p>
          <w:p w14:paraId="54D3A04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(iii) o întreprindere care este legată de instituţie în sensul articolului 22 alineatul (7) din Directiva 2013/34/UE;</w:t>
            </w:r>
          </w:p>
          <w:p w14:paraId="55B7A1DF"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(iv) un membru al aceluiași sistem instituţional de protecţie – precum cel menţionat la articolul 113 alineatul (7) din prezentul regulament – ca și instituţia;</w:t>
            </w:r>
          </w:p>
          <w:p w14:paraId="00C9D41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(v) casa centrală sau o instituţie de credit afiliată unei reţele sau unui grup cooperatist, astfel cum se prevede la articolul 10 din prezentul regulament;</w:t>
            </w:r>
          </w:p>
          <w:p w14:paraId="59D91A71"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există motive să se preconizeze că datoria sau facilitatea de credit sau de lichiditate angajată care a fost primită de instituţie constituie o sursă mai stabilă de finanţare sau că activul sau facilitatea de credit sau de lichiditate angajată care a fost acordată de instituţie necesită o finanţare mai puţin stabilă în orizontul de timp de un an al indicatorului de finanţare stabilă netă decât aceeași datorie, același activ sau aceeași facilitate de credit ori de lichiditate primită sau acordată de alte contrapărţi;</w:t>
            </w:r>
          </w:p>
          <w:p w14:paraId="78D83678"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contrapartea aplică un factor de finanţare stabilă necesară care este egal sau mai mare decât factorul mai mare de finanţare stabilă disponibilă sau un factor de finanţare stabilă disponibilă care este egal sau mai mic decât factorul mai mic de finanţare stabilă necesară;</w:t>
            </w:r>
          </w:p>
          <w:p w14:paraId="6F9887E2" w14:textId="279F24B3"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(d) instituţia și contrapartea sunt stabilite în același stat membru.</w:t>
            </w:r>
          </w:p>
        </w:tc>
        <w:tc>
          <w:tcPr>
            <w:tcW w:w="1249" w:type="pct"/>
          </w:tcPr>
          <w:p w14:paraId="05C3DAA0" w14:textId="53829179" w:rsidR="004F4458" w:rsidRPr="003117B3" w:rsidRDefault="004F4458" w:rsidP="004F4458">
            <w:pPr>
              <w:tabs>
                <w:tab w:val="left" w:pos="265"/>
              </w:tabs>
              <w:spacing w:after="120" w:line="240" w:lineRule="auto"/>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lastRenderedPageBreak/>
              <w:t xml:space="preserve">Secțiunea 6.Tratamentul preferenţial în cadrul unui grup </w:t>
            </w:r>
          </w:p>
          <w:p w14:paraId="45A6EAC4" w14:textId="48780B4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22</w:t>
            </w:r>
            <w:r w:rsidRPr="003117B3">
              <w:rPr>
                <w:rFonts w:ascii="Times New Roman" w:eastAsia="Arial Unicode MS" w:hAnsi="Times New Roman" w:cs="Times New Roman"/>
                <w:bCs/>
                <w:color w:val="000000" w:themeColor="text1"/>
                <w:lang w:val="ro-RO"/>
              </w:rPr>
              <w:t xml:space="preserve">. Prin derogare de la </w:t>
            </w:r>
            <w:r w:rsidR="007F4F2F" w:rsidRPr="003117B3">
              <w:rPr>
                <w:rFonts w:ascii="Times New Roman" w:eastAsia="Arial Unicode MS" w:hAnsi="Times New Roman" w:cs="Times New Roman"/>
                <w:bCs/>
                <w:color w:val="000000" w:themeColor="text1"/>
                <w:lang w:val="ro-RO"/>
              </w:rPr>
              <w:t>capitolele II și III din prezentul titlu</w:t>
            </w:r>
            <w:r w:rsidRPr="003117B3">
              <w:rPr>
                <w:rFonts w:ascii="Times New Roman" w:eastAsia="Arial Unicode MS" w:hAnsi="Times New Roman" w:cs="Times New Roman"/>
                <w:bCs/>
                <w:color w:val="000000" w:themeColor="text1"/>
                <w:lang w:val="ro-RO"/>
              </w:rPr>
              <w:t>, BNM poate autoriza băncile, de la caz la caz, să aplice un factor mai mare de finanţare stabilă disponibilă sau un factor mai mic de finanţare stabilă necesară activelor, datoriilor și facilităţilor de lichiditate sau de credit angajate, dacă sunt îndeplinite cumulativ următoarele condiţii:</w:t>
            </w:r>
          </w:p>
          <w:p w14:paraId="2F893559"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 contrapartea este:</w:t>
            </w:r>
          </w:p>
          <w:p w14:paraId="3DD0707F"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a) banca-mamă sau o filială a băncii;</w:t>
            </w:r>
          </w:p>
          <w:p w14:paraId="007897D3" w14:textId="6F34354E"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b) o altă filială a aceleiași bănci-mamă;</w:t>
            </w:r>
          </w:p>
          <w:p w14:paraId="40EDE2DA" w14:textId="61148F28" w:rsidR="00042F76" w:rsidRPr="003117B3" w:rsidRDefault="00042F76"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c) este legată de bancă printr-o relaţie în sensul obligaţiei de întocmire a conturilor consolidate şi a unui raport anual consolidat în conformitate cu prevederile Legii contabilităţii şi raportării financiare nr.287/2017;</w:t>
            </w:r>
          </w:p>
          <w:p w14:paraId="3879ECBB"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2) există motive să se preconizeze că datoria sau facilitatea de credit sau de </w:t>
            </w:r>
            <w:r w:rsidRPr="003117B3">
              <w:rPr>
                <w:rFonts w:ascii="Times New Roman" w:eastAsia="Arial Unicode MS" w:hAnsi="Times New Roman" w:cs="Times New Roman"/>
                <w:bCs/>
                <w:color w:val="000000" w:themeColor="text1"/>
                <w:lang w:val="ro-RO"/>
              </w:rPr>
              <w:lastRenderedPageBreak/>
              <w:t>lichiditate angajată care a fost primită de bancă constituie o sursă mai stabilă de finanţare sau că activul sau facilitatea de credit sau de lichiditate angajată care a fost acordată de bancă necesită o finanţare mai puţin stabilă în orizontul de timp de un an al indicatorului de finanţare stabilă netă decât aceeași datorie, același activ sau aceeași facilitate de credit ori de lichiditate primită sau acordată de alte contrapărţi;</w:t>
            </w:r>
          </w:p>
          <w:p w14:paraId="387B925F"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3) contrapartea aplică un factor de finanţare stabilă necesară care este egal sau mai mare decât factorul mai mare de finanţare stabilă disponibilă sau un factor de finanţare stabilă disponibilă care este egal sau mai mic decât factorul mai mic de finanţare stabilă necesară;</w:t>
            </w:r>
          </w:p>
          <w:p w14:paraId="49A1E02A" w14:textId="5BD5C516"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4) banca și contrapartea sunt stabilite în Republica Moldova.</w:t>
            </w:r>
            <w:r w:rsidRPr="003117B3">
              <w:rPr>
                <w:rFonts w:ascii="Times New Roman" w:eastAsia="Arial Unicode MS" w:hAnsi="Times New Roman" w:cs="Times New Roman"/>
                <w:bCs/>
                <w:i/>
                <w:color w:val="000000" w:themeColor="text1"/>
                <w:lang w:val="ro-RO"/>
              </w:rPr>
              <w:t xml:space="preserve"> </w:t>
            </w:r>
          </w:p>
        </w:tc>
        <w:tc>
          <w:tcPr>
            <w:tcW w:w="336" w:type="pct"/>
          </w:tcPr>
          <w:p w14:paraId="622176DC" w14:textId="487FB149" w:rsidR="004F4458" w:rsidRPr="003117B3" w:rsidRDefault="004A5384"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Parțial compatibil</w:t>
            </w:r>
          </w:p>
        </w:tc>
        <w:tc>
          <w:tcPr>
            <w:tcW w:w="1153" w:type="pct"/>
          </w:tcPr>
          <w:p w14:paraId="38D9BA54" w14:textId="2387B896" w:rsidR="004F4458" w:rsidRPr="003117B3" w:rsidRDefault="004F4458" w:rsidP="00042F76">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aferente sistemelor instituționale de protecție</w:t>
            </w:r>
            <w:r w:rsidR="00042F76" w:rsidRPr="003117B3">
              <w:rPr>
                <w:rFonts w:ascii="Times New Roman" w:hAnsi="Times New Roman" w:cs="Times New Roman"/>
                <w:color w:val="000000" w:themeColor="text1"/>
                <w:lang w:val="ro-MD"/>
              </w:rPr>
              <w:t>, precum și cele aferente casei centrale, instituţiei de credit afiliate unei reţele sau unui grup cooperatist</w:t>
            </w:r>
            <w:r w:rsidRPr="003117B3">
              <w:rPr>
                <w:rFonts w:ascii="Times New Roman" w:hAnsi="Times New Roman" w:cs="Times New Roman"/>
                <w:color w:val="000000" w:themeColor="text1"/>
                <w:lang w:val="ro-MD"/>
              </w:rPr>
              <w:t xml:space="preserve"> nu au fost transpuse din CRR deoarece astfel de sisteme </w:t>
            </w:r>
            <w:r w:rsidR="00042F76" w:rsidRPr="003117B3">
              <w:rPr>
                <w:rFonts w:ascii="Times New Roman" w:hAnsi="Times New Roman" w:cs="Times New Roman"/>
                <w:color w:val="000000" w:themeColor="text1"/>
                <w:lang w:val="ro-MD"/>
              </w:rPr>
              <w:t xml:space="preserve">și instituții </w:t>
            </w:r>
            <w:r w:rsidRPr="003117B3">
              <w:rPr>
                <w:rFonts w:ascii="Times New Roman" w:hAnsi="Times New Roman" w:cs="Times New Roman"/>
                <w:color w:val="000000" w:themeColor="text1"/>
                <w:lang w:val="ro-MD"/>
              </w:rPr>
              <w:t>lipsesc pe piața Republicii Moldova</w:t>
            </w:r>
            <w:r w:rsidR="00561B42" w:rsidRPr="003117B3">
              <w:rPr>
                <w:color w:val="000000" w:themeColor="text1"/>
                <w:lang w:val="it-IT"/>
              </w:rPr>
              <w:t xml:space="preserve"> </w:t>
            </w:r>
            <w:r w:rsidR="00561B42" w:rsidRPr="003117B3">
              <w:rPr>
                <w:rFonts w:ascii="Times New Roman" w:hAnsi="Times New Roman" w:cs="Times New Roman"/>
                <w:color w:val="000000" w:themeColor="text1"/>
                <w:lang w:val="ro-MD"/>
              </w:rPr>
              <w:t>și nu sunt reglementate de cadrul primar</w:t>
            </w:r>
            <w:r w:rsidRPr="003117B3">
              <w:rPr>
                <w:rFonts w:ascii="Times New Roman" w:hAnsi="Times New Roman" w:cs="Times New Roman"/>
                <w:color w:val="000000" w:themeColor="text1"/>
                <w:lang w:val="ro-MD"/>
              </w:rPr>
              <w:t>.</w:t>
            </w:r>
          </w:p>
        </w:tc>
        <w:tc>
          <w:tcPr>
            <w:tcW w:w="674" w:type="pct"/>
          </w:tcPr>
          <w:p w14:paraId="13CDEB48"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7AC8F244"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CE25C3E"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(2) În cazul în care instituţia și contrapartea sunt stabilite în state membre diferite, autorităţile competente pot acorda o derogare de la respectarea condiţiei prevăzute la alineatul (1) litera (d), cu </w:t>
            </w:r>
            <w:r w:rsidRPr="003117B3">
              <w:rPr>
                <w:rFonts w:ascii="Times New Roman" w:hAnsi="Times New Roman" w:cs="Times New Roman"/>
                <w:color w:val="000000" w:themeColor="text1"/>
                <w:lang w:val="it-IT"/>
              </w:rPr>
              <w:lastRenderedPageBreak/>
              <w:t>condiţia îndeplinirii, în plus faţă de criteriile stabilite la alineatul (1), a următoarelor criterii:</w:t>
            </w:r>
          </w:p>
          <w:p w14:paraId="22F9A0A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există acorduri și angajamente obligatorii din punct de vedere juridic între entităţile unui grup în ceea ce privește datoria, activul sau facilitatea de credit sau de lichiditate angajată;</w:t>
            </w:r>
          </w:p>
          <w:p w14:paraId="5D93D564"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furnizorul de finanţare prezintă un profil de risc de finanţare scăzut;</w:t>
            </w:r>
          </w:p>
          <w:p w14:paraId="0B6E512C"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profilul de risc de finanţare al beneficiarului finanţării a fost luat în considerare în mod adecvat în cadrul gestionării riscului de lichiditate de către furnizorul de finanţare.</w:t>
            </w:r>
          </w:p>
          <w:p w14:paraId="7E34678D" w14:textId="222CB16B"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Autorităţile competente se consultă reciproc, în conformitate cu articolul 20 alineatul (1) litera (b), pentru a stabili dacă sunt îndeplinite criteriile suplimentare prevăzute la prezentul alineat.</w:t>
            </w:r>
          </w:p>
        </w:tc>
        <w:tc>
          <w:tcPr>
            <w:tcW w:w="1249" w:type="pct"/>
          </w:tcPr>
          <w:p w14:paraId="3B758DED"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27D280C2" w14:textId="2E81F0D8"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51A26D24" w14:textId="185084EE"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se aplică statelor membre ale UE.</w:t>
            </w:r>
          </w:p>
        </w:tc>
        <w:tc>
          <w:tcPr>
            <w:tcW w:w="674" w:type="pct"/>
          </w:tcPr>
          <w:p w14:paraId="5F41CFA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100093D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FC023AB"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CAPITOLUL 3</w:t>
            </w:r>
          </w:p>
          <w:p w14:paraId="692548EF"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Finanţarea stabilă disponibilă</w:t>
            </w:r>
          </w:p>
          <w:p w14:paraId="566BF5A7"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S e c ţ i u n e a 1</w:t>
            </w:r>
          </w:p>
          <w:p w14:paraId="06BBF90A" w14:textId="539BB066"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D i s p o z i ţ i i   g e n e r a l e</w:t>
            </w:r>
          </w:p>
          <w:p w14:paraId="744DA14A"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428i</w:t>
            </w:r>
          </w:p>
          <w:p w14:paraId="6131779C"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Calcularea cuantumului finanţării stabile disponibile</w:t>
            </w:r>
          </w:p>
          <w:p w14:paraId="41C692E2"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Cu excepţia cazului în care se prevede altfel în prezentul capitol, cuantumul finanţării stabile </w:t>
            </w:r>
            <w:r w:rsidRPr="003117B3">
              <w:rPr>
                <w:rFonts w:ascii="Times New Roman" w:hAnsi="Times New Roman" w:cs="Times New Roman"/>
                <w:color w:val="000000" w:themeColor="text1"/>
                <w:lang w:val="it-IT"/>
              </w:rPr>
              <w:lastRenderedPageBreak/>
              <w:t>disponibile se calculează înmulţind valoarea contabilă a diferitelor categorii sau tipuri de datorii și a fondurilor proprii cu factorii de finanţare stabilă disponibilă care sunt aplicaţi în temeiul secţiunii 2. Valoarea totală a finanţării stabile disponibile este suma cuantumurilor ponderate ale datoriilor și fondurilor proprii.</w:t>
            </w:r>
          </w:p>
          <w:p w14:paraId="5A5CF282" w14:textId="79FDC190"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Obligaţiunile și alte titluri de datorie care sunt emise de instituţie, vândute exclusiv pe piaţa de retail și deţinute într-un cont de retail, pot fi tratate ca aparţinând categoriei corespunzătoare de depozite de retail. Limitările sunt prevăzute astfel încât respectivele titluri să nu poată fi achiziţionate și deţinute de alte părţi decât clienţii retail.</w:t>
            </w:r>
          </w:p>
        </w:tc>
        <w:tc>
          <w:tcPr>
            <w:tcW w:w="1249" w:type="pct"/>
          </w:tcPr>
          <w:p w14:paraId="26992F1E" w14:textId="77777777" w:rsidR="004F4458" w:rsidRPr="003117B3" w:rsidRDefault="004F4458" w:rsidP="004F4458">
            <w:pPr>
              <w:autoSpaceDE w:val="0"/>
              <w:autoSpaceDN w:val="0"/>
              <w:adjustRightInd w:val="0"/>
              <w:spacing w:after="120" w:line="240" w:lineRule="auto"/>
              <w:jc w:val="center"/>
              <w:rPr>
                <w:rFonts w:ascii="Times New Roman" w:eastAsia="Arial Unicode MS" w:hAnsi="Times New Roman" w:cs="Times New Roman"/>
                <w:b/>
                <w:bCs/>
                <w:i/>
                <w:color w:val="000000" w:themeColor="text1"/>
                <w:lang w:val="ro-RO"/>
              </w:rPr>
            </w:pPr>
            <w:r w:rsidRPr="003117B3">
              <w:rPr>
                <w:rFonts w:ascii="Times New Roman" w:eastAsia="Times New Roman" w:hAnsi="Times New Roman" w:cs="Times New Roman"/>
                <w:b/>
                <w:bCs/>
                <w:color w:val="000000" w:themeColor="text1"/>
                <w:lang w:val="ro-RO"/>
              </w:rPr>
              <w:lastRenderedPageBreak/>
              <w:t>Capitolul II</w:t>
            </w:r>
          </w:p>
          <w:p w14:paraId="5DB1672A" w14:textId="77777777" w:rsidR="004F4458" w:rsidRPr="003117B3" w:rsidRDefault="004F4458" w:rsidP="004F4458">
            <w:pPr>
              <w:autoSpaceDE w:val="0"/>
              <w:autoSpaceDN w:val="0"/>
              <w:adjustRightInd w:val="0"/>
              <w:spacing w:after="120" w:line="240" w:lineRule="auto"/>
              <w:jc w:val="center"/>
              <w:rPr>
                <w:rFonts w:ascii="Times New Roman" w:eastAsia="Times New Roman" w:hAnsi="Times New Roman" w:cs="Times New Roman"/>
                <w:b/>
                <w:bCs/>
                <w:color w:val="000000" w:themeColor="text1"/>
                <w:lang w:val="ro-RO"/>
              </w:rPr>
            </w:pPr>
            <w:r w:rsidRPr="003117B3">
              <w:rPr>
                <w:rFonts w:ascii="Times New Roman" w:eastAsia="Times New Roman" w:hAnsi="Times New Roman" w:cs="Times New Roman"/>
                <w:b/>
                <w:bCs/>
                <w:color w:val="000000" w:themeColor="text1"/>
                <w:lang w:val="ro-RO"/>
              </w:rPr>
              <w:t>FINANŢAREA STABILĂ DISPONIBILĂ</w:t>
            </w:r>
          </w:p>
          <w:p w14:paraId="79CFAB38" w14:textId="77777777" w:rsidR="004F4458" w:rsidRPr="003117B3" w:rsidRDefault="004F4458" w:rsidP="004F4458">
            <w:pPr>
              <w:tabs>
                <w:tab w:val="left" w:pos="265"/>
              </w:tabs>
              <w:spacing w:after="120" w:line="240" w:lineRule="auto"/>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t>Secțiunea 1.  Dispoziţii   generale</w:t>
            </w:r>
          </w:p>
          <w:p w14:paraId="2EE871F0" w14:textId="2136EF2F"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1. Calcularea cuantumului finanţării stabile disponibile </w:t>
            </w:r>
          </w:p>
          <w:p w14:paraId="2667E1ED"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23</w:t>
            </w:r>
            <w:r w:rsidRPr="003117B3">
              <w:rPr>
                <w:rFonts w:ascii="Times New Roman" w:eastAsia="Arial Unicode MS" w:hAnsi="Times New Roman" w:cs="Times New Roman"/>
                <w:bCs/>
                <w:color w:val="000000" w:themeColor="text1"/>
                <w:lang w:val="ro-RO"/>
              </w:rPr>
              <w:t xml:space="preserve">. Cu excepţia cazului în care se prevede altfel în prezentul capitol, </w:t>
            </w:r>
            <w:r w:rsidRPr="003117B3">
              <w:rPr>
                <w:rFonts w:ascii="Times New Roman" w:eastAsia="Arial Unicode MS" w:hAnsi="Times New Roman" w:cs="Times New Roman"/>
                <w:bCs/>
                <w:color w:val="000000" w:themeColor="text1"/>
                <w:lang w:val="ro-RO"/>
              </w:rPr>
              <w:lastRenderedPageBreak/>
              <w:t>cuantumul finanţării stabile disponibile se calculează înmulţind valoarea contabilă a diferitelor categorii sau tipuri de datorii și a fondurilor proprii cu factorii de finanţare stabilă disponibilă care sunt aplicaţi în temeiul secţiunii 2 din prezentul capitol. Valoarea totală a finanţării stabile disponibile este suma cuantumurilor ponderate ale datoriilor și fondurilor proprii.</w:t>
            </w:r>
          </w:p>
          <w:p w14:paraId="3AD05C5D" w14:textId="6D597F8C"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24</w:t>
            </w:r>
            <w:r w:rsidRPr="003117B3">
              <w:rPr>
                <w:rFonts w:ascii="Times New Roman" w:eastAsia="Arial Unicode MS" w:hAnsi="Times New Roman" w:cs="Times New Roman"/>
                <w:bCs/>
                <w:color w:val="000000" w:themeColor="text1"/>
                <w:lang w:val="ro-RO"/>
              </w:rPr>
              <w:t>. Obligaţiunile și alte titluri de datorie care sunt emise de bancă, vândute exclusiv pe piaţa retail și deţinute într-un cont retail, pot fi tratate ca aparţinând categoriei corespunzătoare de depozite retail. Limitările sunt prevăzute astfel încât respectivele titluri să nu poată fi achiziţionate și deţinute de alte părţi decât clienţii retail.</w:t>
            </w:r>
          </w:p>
        </w:tc>
        <w:tc>
          <w:tcPr>
            <w:tcW w:w="336" w:type="pct"/>
          </w:tcPr>
          <w:p w14:paraId="66742E47" w14:textId="1B459CA6"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12205979"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7E153E36"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2517A4C1"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A6A4910"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428j</w:t>
            </w:r>
          </w:p>
          <w:p w14:paraId="2A81AB41"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Scadenţa reziduală a unei datorii sau a fondurilor proprii</w:t>
            </w:r>
          </w:p>
          <w:p w14:paraId="19510C4C" w14:textId="1CB3A601"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(1) Cu excepţia cazului în care se prevede altfel în prezentul capitol, instituţiile ţin seama de scadenţa contractuală reziduală a datoriilor lor și a fondurilor </w:t>
            </w:r>
            <w:r w:rsidRPr="003117B3">
              <w:rPr>
                <w:rFonts w:ascii="Times New Roman" w:hAnsi="Times New Roman" w:cs="Times New Roman"/>
                <w:color w:val="000000" w:themeColor="text1"/>
                <w:lang w:val="it-IT"/>
              </w:rPr>
              <w:lastRenderedPageBreak/>
              <w:t>lor proprii pentru a stabili factorii de finanţare stabilă disponibilă care trebuie aplicaţi în temeiul secţiunii 2.</w:t>
            </w:r>
          </w:p>
        </w:tc>
        <w:tc>
          <w:tcPr>
            <w:tcW w:w="1249" w:type="pct"/>
          </w:tcPr>
          <w:p w14:paraId="47F9E139" w14:textId="06DB2C16"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lastRenderedPageBreak/>
              <w:t xml:space="preserve">Subsecțiunea 2. Scadenţa reziduală a unei datorii sau a fondurilor proprii </w:t>
            </w:r>
          </w:p>
          <w:p w14:paraId="55518631" w14:textId="1D7F09C2"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25</w:t>
            </w:r>
            <w:r w:rsidRPr="003117B3">
              <w:rPr>
                <w:rFonts w:ascii="Times New Roman" w:eastAsia="Arial Unicode MS" w:hAnsi="Times New Roman" w:cs="Times New Roman"/>
                <w:bCs/>
                <w:color w:val="000000" w:themeColor="text1"/>
                <w:lang w:val="ro-RO"/>
              </w:rPr>
              <w:t xml:space="preserve">. Cu excepţia cazului în care se prevede altfel în prezentul capitol, băncile ţin seama de scadenţa contractuală reziduală a datoriilor lor și a fondurilor lor proprii pentru a stabili </w:t>
            </w:r>
            <w:r w:rsidRPr="003117B3">
              <w:rPr>
                <w:rFonts w:ascii="Times New Roman" w:eastAsia="Arial Unicode MS" w:hAnsi="Times New Roman" w:cs="Times New Roman"/>
                <w:bCs/>
                <w:color w:val="000000" w:themeColor="text1"/>
                <w:lang w:val="ro-RO"/>
              </w:rPr>
              <w:lastRenderedPageBreak/>
              <w:t>factorii de finanţare stabilă disponibilă care trebuie aplicaţi în temeiul secţiunii 2.</w:t>
            </w:r>
          </w:p>
        </w:tc>
        <w:tc>
          <w:tcPr>
            <w:tcW w:w="336" w:type="pct"/>
          </w:tcPr>
          <w:p w14:paraId="3395E3B0" w14:textId="6979A9DF"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184CA145"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4ED38EB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C9714E5"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67F096D" w14:textId="560BC5E4"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(2) Instituţiile iau în considerare opţiunile existente pentru a determina scadenţa reziduală a unei datorii sau a fondurilor proprii. Aceasta se realizează pe baza ipotezei că contrapartea va răscumpăra opţiunile „call” cât mai curând posibil. Pentru opţiunile care pot fi exercitate la discreţia instituţiei, instituţiile și autorităţile competente iau în considerare factorii legaţi de reputaţie care pot limita capacitatea unei instituţii de a nu exercita opţiunea, în special așteptările pieţei ca instituţiile să răscumpere anumite datorii înainte de scadenţă.</w:t>
            </w:r>
          </w:p>
        </w:tc>
        <w:tc>
          <w:tcPr>
            <w:tcW w:w="1249" w:type="pct"/>
          </w:tcPr>
          <w:p w14:paraId="12997770" w14:textId="2DA62088"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26</w:t>
            </w:r>
            <w:r w:rsidRPr="003117B3">
              <w:rPr>
                <w:rFonts w:ascii="Times New Roman" w:eastAsia="Arial Unicode MS" w:hAnsi="Times New Roman" w:cs="Times New Roman"/>
                <w:bCs/>
                <w:color w:val="000000" w:themeColor="text1"/>
                <w:lang w:val="ro-RO"/>
              </w:rPr>
              <w:t>. Băncile iau în considerare opţiunile existente pentru a determina scadenţa reziduală a unei datorii sau a fondurilor proprii. Aceasta se realizează pe baza ipotezei că contrapartea va răscumpăra opţiunile „call” cât mai curând posibil. Pentru opţiunile care pot fi exercitate la discreţia băncii, băncile și BNM iau în considerare factorii legaţi de reputaţie care pot limita capacitatea unei bănci de a nu exercita opţiunea, în special așteptările pieţei ca băncile să răscumpere anumite datorii înainte de scadenţă.</w:t>
            </w:r>
          </w:p>
        </w:tc>
        <w:tc>
          <w:tcPr>
            <w:tcW w:w="336" w:type="pct"/>
          </w:tcPr>
          <w:p w14:paraId="2487B930" w14:textId="75482A69"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05D83471"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526089E6"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4CE40AD2"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9A0452B" w14:textId="0C522F31"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(3) Instituţiile tratează depozitele cu perioade fixe de preaviz în funcţie de perioada lor de preaviz și depozitele la termen în funcţie de scadenţa lor reziduală. Prin derogare de la alineatul (2) de la prezentul articol, instituţiile nu iau în considerare opţiunile pentru retrageri anticipate, în cazul în care deponentul trebuie să plătească o penalitate semnificativă pentru retrageri anticipate care au loc în mai puţin de un an, penalitate astfel cum este </w:t>
            </w:r>
            <w:r w:rsidRPr="003117B3">
              <w:rPr>
                <w:rFonts w:ascii="Times New Roman" w:hAnsi="Times New Roman" w:cs="Times New Roman"/>
                <w:color w:val="000000" w:themeColor="text1"/>
                <w:lang w:val="it-IT"/>
              </w:rPr>
              <w:lastRenderedPageBreak/>
              <w:t>prevăzută în actul delegat menţionat la articolul 460 alineatul (1), pentru a determina scadenţa reziduală a depozitelor de retail la termen.</w:t>
            </w:r>
          </w:p>
        </w:tc>
        <w:tc>
          <w:tcPr>
            <w:tcW w:w="1249" w:type="pct"/>
          </w:tcPr>
          <w:p w14:paraId="148A6BF9" w14:textId="428C6AF7"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lastRenderedPageBreak/>
              <w:t>109</w:t>
            </w:r>
            <w:r w:rsidRPr="003117B3">
              <w:rPr>
                <w:rFonts w:ascii="Times New Roman" w:eastAsia="Arial Unicode MS" w:hAnsi="Times New Roman" w:cs="Times New Roman"/>
                <w:bCs/>
                <w:color w:val="000000" w:themeColor="text1"/>
                <w:vertAlign w:val="superscript"/>
                <w:lang w:val="ro-RO"/>
              </w:rPr>
              <w:t>27</w:t>
            </w:r>
            <w:r w:rsidRPr="003117B3">
              <w:rPr>
                <w:rFonts w:ascii="Times New Roman" w:eastAsia="Arial Unicode MS" w:hAnsi="Times New Roman" w:cs="Times New Roman"/>
                <w:bCs/>
                <w:color w:val="000000" w:themeColor="text1"/>
                <w:lang w:val="ro-RO"/>
              </w:rPr>
              <w:t>. Băncile tratează depozitele cu perioade fixe de preaviz în funcţie de perioada lor de preaviz și depozitele la termen în funcţie de scadenţa lor reziduală. Prin derogare de la pct.109</w:t>
            </w:r>
            <w:r w:rsidRPr="003117B3">
              <w:rPr>
                <w:rFonts w:ascii="Times New Roman" w:eastAsia="Arial Unicode MS" w:hAnsi="Times New Roman" w:cs="Times New Roman"/>
                <w:bCs/>
                <w:color w:val="000000" w:themeColor="text1"/>
                <w:vertAlign w:val="superscript"/>
                <w:lang w:val="ro-RO"/>
              </w:rPr>
              <w:t>26</w:t>
            </w:r>
            <w:r w:rsidRPr="003117B3">
              <w:rPr>
                <w:rFonts w:ascii="Times New Roman" w:eastAsia="Arial Unicode MS" w:hAnsi="Times New Roman" w:cs="Times New Roman"/>
                <w:bCs/>
                <w:color w:val="000000" w:themeColor="text1"/>
                <w:lang w:val="ro-RO"/>
              </w:rPr>
              <w:t xml:space="preserve">, băncile nu iau în considerare opţiunile pentru retrageri anticipate, în cazul în care deponentul trebuie să plătească o penalitate semnificativă pentru retrageri anticipate care au loc </w:t>
            </w:r>
            <w:r w:rsidRPr="003117B3">
              <w:rPr>
                <w:rFonts w:ascii="Times New Roman" w:eastAsia="Arial Unicode MS" w:hAnsi="Times New Roman" w:cs="Times New Roman"/>
                <w:bCs/>
                <w:color w:val="000000" w:themeColor="text1"/>
                <w:lang w:val="ro-RO"/>
              </w:rPr>
              <w:lastRenderedPageBreak/>
              <w:t xml:space="preserve">în mai puţin de un an, penalitate astfel cum este prevăzută </w:t>
            </w:r>
            <w:r w:rsidR="00084F3E" w:rsidRPr="003117B3">
              <w:rPr>
                <w:rFonts w:ascii="Times New Roman" w:eastAsia="Arial Unicode MS" w:hAnsi="Times New Roman" w:cs="Times New Roman"/>
                <w:bCs/>
                <w:color w:val="000000" w:themeColor="text1"/>
                <w:lang w:val="ro-RO"/>
              </w:rPr>
              <w:t>la pct.59</w:t>
            </w:r>
            <w:r w:rsidRPr="003117B3">
              <w:rPr>
                <w:rFonts w:ascii="Times New Roman" w:eastAsia="Arial Unicode MS" w:hAnsi="Times New Roman" w:cs="Times New Roman"/>
                <w:bCs/>
                <w:color w:val="000000" w:themeColor="text1"/>
                <w:lang w:val="ro-RO"/>
              </w:rPr>
              <w:t>, pentru a determina scadenţa reziduală a depozitelor retail la termen.</w:t>
            </w:r>
          </w:p>
        </w:tc>
        <w:tc>
          <w:tcPr>
            <w:tcW w:w="336" w:type="pct"/>
          </w:tcPr>
          <w:p w14:paraId="1D5CF1EC" w14:textId="0F7AD460"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11B9A2A2"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19A0E7A9"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1B866C3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973CA75" w14:textId="5FD0D694"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(4) Pentru a determina factorii de finanţare stabilă disponibilă care trebuie aplicaţi în temeiul secţiunii 2, instituţiile tratează orice parte din datorii care are o scadenţă reziduală de cel puţin un an și care ajunge la scadenţă în mai puţin de șase luni și orice parte din aceste datorii care are o scadenţă între șase luni și mai puţin de un an ca având o scadenţă reziduală de mai puţin de șase luni, respectiv o scadenţă reziduală cuprinsă între șase luni și mai puţin de un an.</w:t>
            </w:r>
          </w:p>
        </w:tc>
        <w:tc>
          <w:tcPr>
            <w:tcW w:w="1249" w:type="pct"/>
          </w:tcPr>
          <w:p w14:paraId="4A2AC518" w14:textId="1FF04CC4"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28</w:t>
            </w:r>
            <w:r w:rsidRPr="003117B3">
              <w:rPr>
                <w:rFonts w:ascii="Times New Roman" w:eastAsia="Arial Unicode MS" w:hAnsi="Times New Roman" w:cs="Times New Roman"/>
                <w:bCs/>
                <w:color w:val="000000" w:themeColor="text1"/>
                <w:lang w:val="ro-RO"/>
              </w:rPr>
              <w:t>. Pentru a determina factorii de finanţare stabilă disponibilă care trebuie aplicaţi în temeiul secţiunii 2, băncile tratează orice parte din datorii care are o scadenţă reziduală de cel puţin un an și care ajunge la scadenţă în mai puţin de șase luni și orice parte din aceste datorii care are o scadenţă între șase luni și mai puţin de un an ca având o scadenţă reziduală de mai puţin de șase luni, respectiv o scadenţă reziduală cuprinsă între șase luni și mai puţin de un an.</w:t>
            </w:r>
          </w:p>
        </w:tc>
        <w:tc>
          <w:tcPr>
            <w:tcW w:w="336" w:type="pct"/>
          </w:tcPr>
          <w:p w14:paraId="65D7F458" w14:textId="0973DCB3"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28C5D0E0"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47EAF359"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1552D85F"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77C4750"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S e c ţ i u n e a 2</w:t>
            </w:r>
          </w:p>
          <w:p w14:paraId="15C893E5"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 a c t o r i i d e f i n a n ţ a r e s t a b i l ă d i s p o n i b i l ă</w:t>
            </w:r>
          </w:p>
          <w:p w14:paraId="4ADE64C6"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428k</w:t>
            </w:r>
          </w:p>
          <w:p w14:paraId="50CCDCB1"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disponibilă de 0 %</w:t>
            </w:r>
          </w:p>
          <w:p w14:paraId="5E3B4731"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(1) Cu excepţia cazului în care se prevede altfel la articolele 428l- 428o, tuturor datoriilor care nu au o scadenţă stabilită, inclusiv poziţiilor scurte și poziţiilor cu scadenţă deschisă, li se aplică un factor </w:t>
            </w:r>
            <w:r w:rsidRPr="003117B3">
              <w:rPr>
                <w:rFonts w:ascii="Times New Roman" w:hAnsi="Times New Roman" w:cs="Times New Roman"/>
                <w:color w:val="000000" w:themeColor="text1"/>
                <w:lang w:val="it-IT"/>
              </w:rPr>
              <w:lastRenderedPageBreak/>
              <w:t>de finanţare stabilă disponibilă de 0 %, făcând excepţie următoarele elemente:</w:t>
            </w:r>
          </w:p>
          <w:p w14:paraId="23271B4A"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datoriile privind impozitul amânat, care sunt tratate în conformitate cu cea mai apropiată dată posibilă la care aceste datorii ar putea fi realizate;</w:t>
            </w:r>
          </w:p>
          <w:p w14:paraId="771DF7FE" w14:textId="4BCD3090"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interesele minoritare, care sunt tratate în conformitate cu durata instrumentului.</w:t>
            </w:r>
          </w:p>
        </w:tc>
        <w:tc>
          <w:tcPr>
            <w:tcW w:w="1249" w:type="pct"/>
          </w:tcPr>
          <w:p w14:paraId="415E22C1" w14:textId="77777777" w:rsidR="004F4458" w:rsidRPr="003117B3" w:rsidRDefault="004F4458" w:rsidP="004F4458">
            <w:pPr>
              <w:tabs>
                <w:tab w:val="left" w:pos="265"/>
              </w:tabs>
              <w:spacing w:after="120" w:line="240" w:lineRule="auto"/>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lastRenderedPageBreak/>
              <w:t>Secţiunea 2 Factorii de  finanţare  stabilă  disponibilă</w:t>
            </w:r>
          </w:p>
          <w:p w14:paraId="5368189C" w14:textId="7AC5870E"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1. Factorul de finanţare stabilă disponibilă de 0 % </w:t>
            </w:r>
          </w:p>
          <w:p w14:paraId="5B84F1FC"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 109</w:t>
            </w:r>
            <w:r w:rsidRPr="003117B3">
              <w:rPr>
                <w:rFonts w:ascii="Times New Roman" w:eastAsia="Arial Unicode MS" w:hAnsi="Times New Roman" w:cs="Times New Roman"/>
                <w:bCs/>
                <w:color w:val="000000" w:themeColor="text1"/>
                <w:vertAlign w:val="superscript"/>
                <w:lang w:val="ro-RO"/>
              </w:rPr>
              <w:t>29</w:t>
            </w:r>
            <w:r w:rsidRPr="003117B3">
              <w:rPr>
                <w:rFonts w:ascii="Times New Roman" w:eastAsia="Arial Unicode MS" w:hAnsi="Times New Roman" w:cs="Times New Roman"/>
                <w:bCs/>
                <w:color w:val="000000" w:themeColor="text1"/>
                <w:lang w:val="ro-RO"/>
              </w:rPr>
              <w:t xml:space="preserve">. Cu excepţia cazului în care se prevede altfel la subsecțiunea 2-5 din prezenta secțiune, tuturor datoriilor care nu au o scadenţă stabilită, inclusiv poziţiilor scurte și poziţiilor cu scadenţă deschisă, li se aplică un factor </w:t>
            </w:r>
            <w:r w:rsidRPr="003117B3">
              <w:rPr>
                <w:rFonts w:ascii="Times New Roman" w:eastAsia="Arial Unicode MS" w:hAnsi="Times New Roman" w:cs="Times New Roman"/>
                <w:bCs/>
                <w:color w:val="000000" w:themeColor="text1"/>
                <w:lang w:val="ro-RO"/>
              </w:rPr>
              <w:lastRenderedPageBreak/>
              <w:t>de finanţare stabilă disponibilă de 0 %, făcând excepţie următoarele elemente:</w:t>
            </w:r>
          </w:p>
          <w:p w14:paraId="16443E2B"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 datoriile privind impozitul amânat, care sunt tratate în conformitate cu cea mai apropiată dată posibilă la care aceste datorii ar putea fi realizate;</w:t>
            </w:r>
          </w:p>
          <w:p w14:paraId="53BFCAE0" w14:textId="60BDB62C"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2) interesele minoritare, care sunt tratate în conformitate cu durata instrumentului.</w:t>
            </w:r>
          </w:p>
        </w:tc>
        <w:tc>
          <w:tcPr>
            <w:tcW w:w="336" w:type="pct"/>
          </w:tcPr>
          <w:p w14:paraId="7FD6DA19" w14:textId="309E9839"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7079F268"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11556D68"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42B6B78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ED4236F"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(2) Datoriilor privind impozitul amânat și interesele minoritare, astfel cum sunt menţionate la alineatul (1), li se aplică unul dintre următorii factori:</w:t>
            </w:r>
          </w:p>
          <w:p w14:paraId="2B60679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0 %, în cazul în care scadenţa reziduală efectivă a datoriei privind impozitul amânat sau a interesului minoritar este mai mică de șase luni;</w:t>
            </w:r>
          </w:p>
          <w:p w14:paraId="2C73C97A"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50 %, în cazul în care scadenţa reziduală efectivă a datoriei privind impozitul amânat sau a interesului minoritar este de minimum șase luni, dar mai mică de un an;</w:t>
            </w:r>
          </w:p>
          <w:p w14:paraId="06E40AA2" w14:textId="6D96C33F"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100 %, în cazul în care scadenţa reziduală efectivă a datoriei privind impozitul amânat sau a interesului minoritar este de cel puţin un an.</w:t>
            </w:r>
          </w:p>
        </w:tc>
        <w:tc>
          <w:tcPr>
            <w:tcW w:w="1249" w:type="pct"/>
          </w:tcPr>
          <w:p w14:paraId="17AC87CB"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30</w:t>
            </w:r>
            <w:r w:rsidRPr="003117B3">
              <w:rPr>
                <w:rFonts w:ascii="Times New Roman" w:eastAsia="Arial Unicode MS" w:hAnsi="Times New Roman" w:cs="Times New Roman"/>
                <w:bCs/>
                <w:color w:val="000000" w:themeColor="text1"/>
                <w:lang w:val="ro-RO"/>
              </w:rPr>
              <w:t>. Datoriilor privind impozitul amânat și interesele minoritare, astfel cum sunt menţionate la pct.109</w:t>
            </w:r>
            <w:r w:rsidRPr="003117B3">
              <w:rPr>
                <w:rFonts w:ascii="Times New Roman" w:eastAsia="Arial Unicode MS" w:hAnsi="Times New Roman" w:cs="Times New Roman"/>
                <w:bCs/>
                <w:color w:val="000000" w:themeColor="text1"/>
                <w:vertAlign w:val="superscript"/>
                <w:lang w:val="ro-RO"/>
              </w:rPr>
              <w:t>29</w:t>
            </w:r>
            <w:r w:rsidRPr="003117B3">
              <w:rPr>
                <w:rFonts w:ascii="Times New Roman" w:eastAsia="Arial Unicode MS" w:hAnsi="Times New Roman" w:cs="Times New Roman"/>
                <w:bCs/>
                <w:color w:val="000000" w:themeColor="text1"/>
                <w:lang w:val="ro-RO"/>
              </w:rPr>
              <w:t>, li se aplică unul dintre următorii factori:</w:t>
            </w:r>
          </w:p>
          <w:p w14:paraId="50E227AC"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 0 %, în cazul în care scadenţa reziduală efectivă a datoriei privind impozitul amânat sau a interesului minoritar este mai mică de șase luni;</w:t>
            </w:r>
          </w:p>
          <w:p w14:paraId="0F18E2C7"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2) 50 %, în cazul în care scadenţa reziduală efectivă a datoriei privind impozitul amânat sau a interesului minoritar este de minimum șase luni, dar mai mică de un an;</w:t>
            </w:r>
          </w:p>
          <w:p w14:paraId="7578A278" w14:textId="69028DF3"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3) 100 %, în cazul în care scadenţa reziduală efectivă a datoriei privind impozitul amânat sau a interesului minoritar este de cel puţin un an.</w:t>
            </w:r>
          </w:p>
        </w:tc>
        <w:tc>
          <w:tcPr>
            <w:tcW w:w="336" w:type="pct"/>
          </w:tcPr>
          <w:p w14:paraId="2FFDC996" w14:textId="0FB0F408"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362B39DD"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335799DE"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5A0D34E"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310E6D6"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(3) Următoarele datorii fac obiectul unui factor de finanţare stabilă disponibilă de 0 %:</w:t>
            </w:r>
          </w:p>
          <w:p w14:paraId="1A7485CC"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sumele de plătit la data tranzacţionării care provin din achiziţionarea de instrumente financiare, de valute și de mărfuri, care se preconizează că vor fi decontate în ciclul sau perioada standard de decontare care este tipică pentru cursul de schimb sau pentru tipul de tranzacţii în cauză sau în cazul cărora decontarea nu a fost realizată, dar se preconizează totuși că va fi realizată;</w:t>
            </w:r>
          </w:p>
          <w:p w14:paraId="033DA5BA"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pasivele care sunt clasificate ca fiind interdependente de active în conformitate cu articolul 428f;</w:t>
            </w:r>
          </w:p>
          <w:p w14:paraId="6F0B700A"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datoriile cu o scadenţă reziduală mai mică de șase luni furnizate de:</w:t>
            </w:r>
          </w:p>
          <w:p w14:paraId="24D61491"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BCE sau banca centrală a unui stat membru;</w:t>
            </w:r>
          </w:p>
          <w:p w14:paraId="43DFBC7E"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banca centrală a unei ţări terţe;</w:t>
            </w:r>
          </w:p>
          <w:p w14:paraId="794F01F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(iii) clienţii financiari;</w:t>
            </w:r>
          </w:p>
          <w:p w14:paraId="1FC91BDF" w14:textId="5E026A6B"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 orice altă datorie și element sau instrument de capital care nu sunt menţionate la articolele 428l-428o.</w:t>
            </w:r>
          </w:p>
        </w:tc>
        <w:tc>
          <w:tcPr>
            <w:tcW w:w="1249" w:type="pct"/>
          </w:tcPr>
          <w:p w14:paraId="15845F13"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31</w:t>
            </w:r>
            <w:r w:rsidRPr="003117B3">
              <w:rPr>
                <w:rFonts w:ascii="Times New Roman" w:eastAsia="Arial Unicode MS" w:hAnsi="Times New Roman" w:cs="Times New Roman"/>
                <w:bCs/>
                <w:color w:val="000000" w:themeColor="text1"/>
                <w:lang w:val="ro-RO"/>
              </w:rPr>
              <w:t>. Următoarele datorii fac obiectul unui factor de finanţare stabilă disponibilă de 0 %:</w:t>
            </w:r>
          </w:p>
          <w:p w14:paraId="1240251C" w14:textId="53509C05"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sumele de plătit la data tranzacţionării care provin din achiziţionarea de instrumente financiare, de valute și de mărfuri, care se preconizează că vor fi decontate în ciclul sau perioada standard de decontare care este tipică pentru </w:t>
            </w:r>
            <w:r w:rsidR="004A578C" w:rsidRPr="003117B3">
              <w:rPr>
                <w:rFonts w:ascii="Times New Roman" w:eastAsia="Arial Unicode MS" w:hAnsi="Times New Roman" w:cs="Times New Roman"/>
                <w:bCs/>
                <w:color w:val="000000" w:themeColor="text1"/>
                <w:lang w:val="ro-RO"/>
              </w:rPr>
              <w:t>bursa relevantă</w:t>
            </w:r>
            <w:r w:rsidRPr="003117B3">
              <w:rPr>
                <w:rFonts w:ascii="Times New Roman" w:eastAsia="Arial Unicode MS" w:hAnsi="Times New Roman" w:cs="Times New Roman"/>
                <w:bCs/>
                <w:color w:val="000000" w:themeColor="text1"/>
                <w:lang w:val="ro-RO"/>
              </w:rPr>
              <w:t xml:space="preserve"> sau pentru tipul de tranzacţii în cauză sau în cazul cărora decontarea nu a fost realizată, dar se preconizează totuși că va fi realizată;</w:t>
            </w:r>
          </w:p>
          <w:p w14:paraId="41DC6868" w14:textId="250FB70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2) pasivele care sunt clasificate ca fiind interdependente de active în conformitat</w:t>
            </w:r>
            <w:r w:rsidR="003C3136" w:rsidRPr="003117B3">
              <w:rPr>
                <w:rFonts w:ascii="Times New Roman" w:eastAsia="Arial Unicode MS" w:hAnsi="Times New Roman" w:cs="Times New Roman"/>
                <w:bCs/>
                <w:color w:val="000000" w:themeColor="text1"/>
                <w:lang w:val="ro-RO"/>
              </w:rPr>
              <w:t>e cu secțiunea 5 din capitolul I</w:t>
            </w:r>
            <w:r w:rsidRPr="003117B3">
              <w:rPr>
                <w:rFonts w:ascii="Times New Roman" w:eastAsia="Arial Unicode MS" w:hAnsi="Times New Roman" w:cs="Times New Roman"/>
                <w:bCs/>
                <w:color w:val="000000" w:themeColor="text1"/>
                <w:lang w:val="ro-RO"/>
              </w:rPr>
              <w:t xml:space="preserve"> din prezentul titlu;</w:t>
            </w:r>
          </w:p>
          <w:p w14:paraId="3F9E3154"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3) datoriile cu o scadenţă reziduală mai mică de șase luni furnizate de:</w:t>
            </w:r>
          </w:p>
          <w:p w14:paraId="32D72B4C" w14:textId="12C3E00A"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a) BNM</w:t>
            </w:r>
            <w:r w:rsidR="00780DCB" w:rsidRPr="003117B3">
              <w:rPr>
                <w:rFonts w:ascii="Times New Roman" w:eastAsia="Arial Unicode MS" w:hAnsi="Times New Roman" w:cs="Times New Roman"/>
                <w:bCs/>
                <w:color w:val="000000" w:themeColor="text1"/>
                <w:lang w:val="ro-RO"/>
              </w:rPr>
              <w:t>,</w:t>
            </w:r>
            <w:r w:rsidR="00780DCB" w:rsidRPr="003117B3">
              <w:rPr>
                <w:color w:val="000000" w:themeColor="text1"/>
                <w:lang w:val="it-IT"/>
              </w:rPr>
              <w:t xml:space="preserve"> </w:t>
            </w:r>
            <w:r w:rsidR="00780DCB" w:rsidRPr="003117B3">
              <w:rPr>
                <w:rFonts w:ascii="Times New Roman" w:eastAsia="Arial Unicode MS" w:hAnsi="Times New Roman" w:cs="Times New Roman"/>
                <w:bCs/>
                <w:color w:val="000000" w:themeColor="text1"/>
                <w:lang w:val="ro-RO"/>
              </w:rPr>
              <w:t>BCE sau banca centrală a unui stat membru</w:t>
            </w:r>
            <w:r w:rsidR="007B3BBF" w:rsidRPr="003117B3">
              <w:rPr>
                <w:rFonts w:ascii="Times New Roman" w:eastAsia="Arial Unicode MS" w:hAnsi="Times New Roman" w:cs="Times New Roman"/>
                <w:bCs/>
                <w:color w:val="000000" w:themeColor="text1"/>
                <w:lang w:val="ro-RO"/>
              </w:rPr>
              <w:t xml:space="preserve"> UE</w:t>
            </w:r>
            <w:r w:rsidRPr="003117B3">
              <w:rPr>
                <w:rFonts w:ascii="Times New Roman" w:eastAsia="Arial Unicode MS" w:hAnsi="Times New Roman" w:cs="Times New Roman"/>
                <w:bCs/>
                <w:color w:val="000000" w:themeColor="text1"/>
                <w:lang w:val="ro-RO"/>
              </w:rPr>
              <w:t>;</w:t>
            </w:r>
          </w:p>
          <w:p w14:paraId="03A4DCE7"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b) banca centrală a unui alt stat;</w:t>
            </w:r>
          </w:p>
          <w:p w14:paraId="66BB38AC"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c) clienţii financiari;</w:t>
            </w:r>
          </w:p>
          <w:p w14:paraId="013EF103" w14:textId="220C868F"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 xml:space="preserve">4) orice altă datorie și element sau instrument de capital care nu sunt </w:t>
            </w:r>
            <w:r w:rsidRPr="003117B3">
              <w:rPr>
                <w:rFonts w:ascii="Times New Roman" w:eastAsia="Arial Unicode MS" w:hAnsi="Times New Roman" w:cs="Times New Roman"/>
                <w:bCs/>
                <w:color w:val="000000" w:themeColor="text1"/>
                <w:lang w:val="ro-RO"/>
              </w:rPr>
              <w:lastRenderedPageBreak/>
              <w:t>menţionate la subsecțiunea 2-5 din prezenta secțiune.</w:t>
            </w:r>
          </w:p>
        </w:tc>
        <w:tc>
          <w:tcPr>
            <w:tcW w:w="336" w:type="pct"/>
          </w:tcPr>
          <w:p w14:paraId="66B0C000" w14:textId="0D80CAE9"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25C2BDE2"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3AFB4C09"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719253D5"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A4529BA"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(4) Instituţiile aplică un factor de finanţare stabilă disponibilă de 0 % valorii absolute a diferenţei, în cazul în care aceasta este negativă, dintre suma valorilor juste din cadrul tuturor seturilor de compensare cu o valoare justă pozitivă și suma valorilor juste din cadrul tuturor seturilor de compensare cu o valoare justă negativă, calculate în conformitate cu articolul 428d.</w:t>
            </w:r>
          </w:p>
          <w:p w14:paraId="7A5EB1AA"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Următoarele norme se aplică în ceea ce privește calculul menţionat la primul paragraf:</w:t>
            </w:r>
          </w:p>
          <w:p w14:paraId="1DD2C996"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marja de variaţie primită de instituţii de la contrapărţile lor se deduce din valoarea justă a unui set de compensare cu valoare justă pozitivă în cazul în care garanţiile reale primite ca marjă de variaţie se califică drept active de nivel 1, în temeiul actului delegat menţionat la articolul 460 alineatul (1), cu excepţia obligaţiunilor garantate cu un nivel extrem de ridicat de calitate menţionate în actul delegat respectiv, și în cazul în care instituţiile sunt abilitate din punct de vedere juridic și sunt în măsură din punct de vedere operaţional să reutilizeze garanţiile reale respective;</w:t>
            </w:r>
          </w:p>
          <w:p w14:paraId="00F5420B" w14:textId="3A8C38AA"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(b) întreaga marjă de variaţie furnizată de instituţii în favoarea contrapărţilor lor se deduce din valoarea justă a unui set de compensare cu valoare justă negativă.</w:t>
            </w:r>
          </w:p>
        </w:tc>
        <w:tc>
          <w:tcPr>
            <w:tcW w:w="1249" w:type="pct"/>
          </w:tcPr>
          <w:p w14:paraId="5FCFE164" w14:textId="77777777" w:rsidR="009F1BC4" w:rsidRPr="003117B3" w:rsidRDefault="009F1BC4" w:rsidP="00D278DB">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lastRenderedPageBreak/>
              <w:t>109</w:t>
            </w:r>
            <w:r w:rsidRPr="003117B3">
              <w:rPr>
                <w:rFonts w:ascii="Times New Roman" w:eastAsia="Arial Unicode MS" w:hAnsi="Times New Roman" w:cs="Times New Roman"/>
                <w:b/>
                <w:bCs/>
                <w:color w:val="000000" w:themeColor="text1"/>
                <w:vertAlign w:val="superscript"/>
                <w:lang w:val="ro-RO"/>
              </w:rPr>
              <w:t>32</w:t>
            </w:r>
            <w:r w:rsidRPr="003117B3">
              <w:rPr>
                <w:rFonts w:ascii="Times New Roman" w:eastAsia="Arial Unicode MS" w:hAnsi="Times New Roman" w:cs="Times New Roman"/>
                <w:b/>
                <w:bCs/>
                <w:color w:val="000000" w:themeColor="text1"/>
                <w:lang w:val="ro-RO"/>
              </w:rPr>
              <w:t>.</w:t>
            </w:r>
            <w:r w:rsidRPr="003117B3">
              <w:rPr>
                <w:rFonts w:ascii="Times New Roman" w:eastAsia="Arial Unicode MS" w:hAnsi="Times New Roman" w:cs="Times New Roman"/>
                <w:bCs/>
                <w:color w:val="000000" w:themeColor="text1"/>
                <w:lang w:val="ro-RO"/>
              </w:rPr>
              <w:t xml:space="preserve"> Băncile aplică un factor de finanţare stabilă disponibilă de 0 % valorii absolute a diferenţei, în cazul în care aceasta este negativă, dintre suma valorilor juste din cadrul tuturor seturilor de compensare cu o valoare justă pozitivă și suma valorilor juste din cadrul tuturor seturilor de compensare cu o valoare justă negativă, calculate în conformitate cu secțiunea 3, capitolul I din prezentul titlu.</w:t>
            </w:r>
          </w:p>
          <w:p w14:paraId="4506AAC5" w14:textId="77777777" w:rsidR="009F1BC4" w:rsidRPr="003117B3" w:rsidRDefault="009F1BC4" w:rsidP="00D278DB">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33</w:t>
            </w:r>
            <w:r w:rsidRPr="003117B3">
              <w:rPr>
                <w:rFonts w:ascii="Times New Roman" w:eastAsia="Arial Unicode MS" w:hAnsi="Times New Roman" w:cs="Times New Roman"/>
                <w:b/>
                <w:bCs/>
                <w:color w:val="000000" w:themeColor="text1"/>
                <w:lang w:val="ro-RO"/>
              </w:rPr>
              <w:t>.</w:t>
            </w:r>
            <w:r w:rsidRPr="003117B3">
              <w:rPr>
                <w:rFonts w:ascii="Times New Roman" w:eastAsia="Arial Unicode MS" w:hAnsi="Times New Roman" w:cs="Times New Roman"/>
                <w:bCs/>
                <w:color w:val="000000" w:themeColor="text1"/>
                <w:lang w:val="ro-RO"/>
              </w:rPr>
              <w:t xml:space="preserve"> Următoarele norme se aplică în ceea ce privește calculul menţionat la pct.109</w:t>
            </w:r>
            <w:r w:rsidRPr="003117B3">
              <w:rPr>
                <w:rFonts w:ascii="Times New Roman" w:eastAsia="Arial Unicode MS" w:hAnsi="Times New Roman" w:cs="Times New Roman"/>
                <w:bCs/>
                <w:color w:val="000000" w:themeColor="text1"/>
                <w:vertAlign w:val="superscript"/>
                <w:lang w:val="ro-RO"/>
              </w:rPr>
              <w:t>32</w:t>
            </w:r>
            <w:r w:rsidRPr="003117B3">
              <w:rPr>
                <w:rFonts w:ascii="Times New Roman" w:eastAsia="Arial Unicode MS" w:hAnsi="Times New Roman" w:cs="Times New Roman"/>
                <w:bCs/>
                <w:color w:val="000000" w:themeColor="text1"/>
                <w:lang w:val="ro-RO"/>
              </w:rPr>
              <w:t>:</w:t>
            </w:r>
          </w:p>
          <w:p w14:paraId="2BD2218F" w14:textId="77777777" w:rsidR="009F1BC4" w:rsidRPr="003117B3" w:rsidRDefault="009F1BC4" w:rsidP="00D278DB">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marja de variaţie primită de bănci de la contrapărţile lor se deduce din valoarea justă a unui set de compensare cu valoare justă pozitivă în cazul în care garanţiile reale primite ca marjă de variaţie se califică drept active de nivel 1, în temeiul titlului II,  și în cazul în care băncile sunt abilitate din punct de vedere juridic și sunt în măsură din punct de vedere operaţional </w:t>
            </w:r>
            <w:r w:rsidRPr="003117B3">
              <w:rPr>
                <w:rFonts w:ascii="Times New Roman" w:eastAsia="Arial Unicode MS" w:hAnsi="Times New Roman" w:cs="Times New Roman"/>
                <w:bCs/>
                <w:color w:val="000000" w:themeColor="text1"/>
                <w:lang w:val="ro-RO"/>
              </w:rPr>
              <w:lastRenderedPageBreak/>
              <w:t>să reutilizeze garanţiile reale respective;</w:t>
            </w:r>
          </w:p>
          <w:p w14:paraId="5BF34921" w14:textId="567E59CF" w:rsidR="004F4458" w:rsidRPr="003117B3" w:rsidRDefault="009F1BC4" w:rsidP="004F4458">
            <w:pPr>
              <w:spacing w:after="0" w:line="276"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2) întreaga marjă de variaţie furnizată de bănci în favoarea contrapărţilor lor se deduce din valoarea justă a unui set de compensare cu valoare justă negativă.</w:t>
            </w:r>
          </w:p>
        </w:tc>
        <w:tc>
          <w:tcPr>
            <w:tcW w:w="336" w:type="pct"/>
          </w:tcPr>
          <w:p w14:paraId="6CE9C819" w14:textId="3C9B5CDC" w:rsidR="004F4458" w:rsidRPr="003117B3" w:rsidRDefault="009F1BC4"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w:t>
            </w:r>
            <w:r w:rsidR="003C3136" w:rsidRPr="003117B3">
              <w:rPr>
                <w:rFonts w:ascii="Times New Roman" w:hAnsi="Times New Roman" w:cs="Times New Roman"/>
                <w:b/>
                <w:color w:val="000000" w:themeColor="text1"/>
                <w:lang w:val="ro-MD"/>
              </w:rPr>
              <w:t>ompatibil</w:t>
            </w:r>
          </w:p>
          <w:p w14:paraId="1F496C7B" w14:textId="48484CEA" w:rsidR="009F1BC4" w:rsidRPr="003117B3" w:rsidRDefault="009F1BC4" w:rsidP="004F4458">
            <w:pPr>
              <w:spacing w:line="276" w:lineRule="auto"/>
              <w:jc w:val="both"/>
              <w:rPr>
                <w:rFonts w:ascii="Times New Roman" w:hAnsi="Times New Roman" w:cs="Times New Roman"/>
                <w:b/>
                <w:color w:val="000000" w:themeColor="text1"/>
                <w:lang w:val="ro-MD"/>
              </w:rPr>
            </w:pPr>
          </w:p>
        </w:tc>
        <w:tc>
          <w:tcPr>
            <w:tcW w:w="1153" w:type="pct"/>
          </w:tcPr>
          <w:p w14:paraId="5ED3626E" w14:textId="6DB81E6C"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6E73F531"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10A69D2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04FA6B7"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428l</w:t>
            </w:r>
          </w:p>
          <w:p w14:paraId="2ABB82B7"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disponibilă de 50 %</w:t>
            </w:r>
          </w:p>
          <w:p w14:paraId="76925DD9"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Următoarele datorii fac obiectul unui factor de finanţare stabilă disponibilă de 50 %:</w:t>
            </w:r>
          </w:p>
          <w:p w14:paraId="682756F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depozitele primite care îndeplinesc criteriile pentru depozitele operaţionale prevăzute în actul delegat menţionat la articolul 460 alineatul (1);</w:t>
            </w:r>
          </w:p>
          <w:p w14:paraId="483F91B4"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datoriile cu o scadenţă reziduală mai mică de un an furnizate de:</w:t>
            </w:r>
          </w:p>
          <w:p w14:paraId="49C56FAC"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administraţia centrală a unui stat membru sau a unei ţări terţe;</w:t>
            </w:r>
          </w:p>
          <w:p w14:paraId="3659E5B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administraţia regională sau autorităţile locale ale unui stat membru sau ale unei ţări terţe;</w:t>
            </w:r>
          </w:p>
          <w:p w14:paraId="31CD605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(iii) entităţile din sectorul public dintr-un stat membru sau dintr-o ţară terţă;</w:t>
            </w:r>
          </w:p>
          <w:p w14:paraId="2EF697F1"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(iv) băncile multilaterale de dezvoltare menţionate la articolul 117 alineatul (2) și organizaţiile internaţionale menţionate la articolul 118;</w:t>
            </w:r>
          </w:p>
          <w:p w14:paraId="452FCF51"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(v) clienţii care sunt societăţi nefinanciare;</w:t>
            </w:r>
          </w:p>
          <w:p w14:paraId="56313D4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(vi) cooperativele de credit autorizate de către o autoritate competentă, societăţile pentru investiţii personale și clienţii care sunt brokeri de depozite, în măsura în care datoriile respective nu se încadrează la litera (a) de la prezentul alineat;</w:t>
            </w:r>
          </w:p>
          <w:p w14:paraId="3A099BDF"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datoriile cu o scadenţă contractuală reziduală de minimum șase luni dar mai mică de un an care sunt furnizate de:</w:t>
            </w:r>
          </w:p>
          <w:p w14:paraId="54BA746B"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BCE sau banca centrală a unui stat membru;</w:t>
            </w:r>
          </w:p>
          <w:p w14:paraId="12E67D72"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banca centrală a unei ţări terţe;</w:t>
            </w:r>
          </w:p>
          <w:p w14:paraId="2F672CA5"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(iii) clienţii financiari;</w:t>
            </w:r>
          </w:p>
          <w:p w14:paraId="131A9BD3" w14:textId="2428928E"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 orice altă datorie cu o scadenţă reziduală de minimum șase luni, dar mai mică de un an, care nu este menţionată la articolele 428m, 428n și 428o.</w:t>
            </w:r>
          </w:p>
        </w:tc>
        <w:tc>
          <w:tcPr>
            <w:tcW w:w="1249" w:type="pct"/>
          </w:tcPr>
          <w:p w14:paraId="7A4DF4F0" w14:textId="3164956F"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lastRenderedPageBreak/>
              <w:t xml:space="preserve">Subsecțiunea 2. Factorul de finanţare stabilă disponibilă de 50 % </w:t>
            </w:r>
          </w:p>
          <w:p w14:paraId="05F9707B" w14:textId="3F0E1F5E" w:rsidR="00FE076E" w:rsidRPr="003117B3" w:rsidRDefault="0015463F"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34</w:t>
            </w:r>
            <w:r w:rsidR="00FE076E" w:rsidRPr="003117B3">
              <w:rPr>
                <w:rFonts w:ascii="Times New Roman" w:eastAsia="Arial Unicode MS" w:hAnsi="Times New Roman" w:cs="Times New Roman"/>
                <w:bCs/>
                <w:color w:val="000000" w:themeColor="text1"/>
                <w:lang w:val="ro-RO"/>
              </w:rPr>
              <w:t xml:space="preserve"> Următoarele datorii fac obiectul unui factor de finanţare stabilă disponibilă de 50 %:</w:t>
            </w:r>
          </w:p>
          <w:p w14:paraId="4D5CC293" w14:textId="77777777"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 depozitele primite care îndeplinesc criteriile pentru depozitele operaţionale prevăzute în subsecțiunea 5, secțiunea 2, capitolul III, titlul II;</w:t>
            </w:r>
          </w:p>
          <w:p w14:paraId="697496BC" w14:textId="77777777" w:rsidR="007C7B76"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2) datoriile cu o scadenţă reziduală mai mică de un an furnizate de:</w:t>
            </w:r>
          </w:p>
          <w:p w14:paraId="1B3ECACF" w14:textId="000C0DA8"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a) administraţia publică centrală a Republicii Moldova sau administraţia centrală a unui alt stat;</w:t>
            </w:r>
          </w:p>
          <w:p w14:paraId="52F7344D" w14:textId="77777777"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b) administraţia regională sau autorităţile locale ale Republicii Moldova sau ale unui alt stat;</w:t>
            </w:r>
          </w:p>
          <w:p w14:paraId="709E444A" w14:textId="05437081"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lastRenderedPageBreak/>
              <w:t>c) entităţi din sectorul public</w:t>
            </w:r>
            <w:r w:rsidR="007375C5" w:rsidRPr="003117B3">
              <w:rPr>
                <w:rFonts w:ascii="Times New Roman" w:eastAsia="Arial Unicode MS" w:hAnsi="Times New Roman" w:cs="Times New Roman"/>
                <w:bCs/>
                <w:color w:val="000000" w:themeColor="text1"/>
                <w:sz w:val="24"/>
                <w:szCs w:val="24"/>
                <w:lang w:val="ro-RO"/>
              </w:rPr>
              <w:t xml:space="preserve"> </w:t>
            </w:r>
            <w:r w:rsidR="007375C5" w:rsidRPr="003117B3">
              <w:rPr>
                <w:rFonts w:ascii="Times New Roman" w:eastAsia="Arial Unicode MS" w:hAnsi="Times New Roman" w:cs="Times New Roman"/>
                <w:bCs/>
                <w:color w:val="000000" w:themeColor="text1"/>
                <w:lang w:val="ro-RO"/>
              </w:rPr>
              <w:t>din Republica Moldova sau dintr-un alt stat;</w:t>
            </w:r>
          </w:p>
          <w:p w14:paraId="02AEAE51" w14:textId="77777777"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d) băncile de dezvoltare multilaterală şi de organizaţiile internaţionale menţionate la pct.46 şi, respectiv, la pct.47 din Regulamentul nr.111/2018;</w:t>
            </w:r>
          </w:p>
          <w:p w14:paraId="02620E67" w14:textId="77777777"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e) clienţii care sunt societăţi nefinanciare;</w:t>
            </w:r>
          </w:p>
          <w:p w14:paraId="06CF4902" w14:textId="77777777"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f) societăţile pentru investiţii personale și clienţii care sunt brokeri de depozite, în măsura în care datoriile respective nu se încadrează la subpct. 1) din prezentul punct;</w:t>
            </w:r>
          </w:p>
          <w:p w14:paraId="5930960E" w14:textId="77777777"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3) datoriile cu o scadenţă contractuală reziduală de minimum șase luni dar mai mică de un an care sunt furnizate de:</w:t>
            </w:r>
          </w:p>
          <w:p w14:paraId="37F9827A" w14:textId="354FF398"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a) BNM</w:t>
            </w:r>
            <w:r w:rsidR="007B3BBF" w:rsidRPr="003117B3">
              <w:rPr>
                <w:rFonts w:ascii="Times New Roman" w:eastAsia="Arial Unicode MS" w:hAnsi="Times New Roman" w:cs="Times New Roman"/>
                <w:bCs/>
                <w:color w:val="000000" w:themeColor="text1"/>
                <w:lang w:val="ro-RO"/>
              </w:rPr>
              <w:t xml:space="preserve"> </w:t>
            </w:r>
            <w:r w:rsidRPr="003117B3">
              <w:rPr>
                <w:rFonts w:ascii="Times New Roman" w:eastAsia="Arial Unicode MS" w:hAnsi="Times New Roman" w:cs="Times New Roman"/>
                <w:bCs/>
                <w:color w:val="000000" w:themeColor="text1"/>
                <w:lang w:val="ro-RO"/>
              </w:rPr>
              <w:t>;</w:t>
            </w:r>
          </w:p>
          <w:p w14:paraId="7A0F5F74" w14:textId="38C786B0"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b) </w:t>
            </w:r>
            <w:r w:rsidR="007375C5" w:rsidRPr="003117B3">
              <w:rPr>
                <w:rFonts w:ascii="Times New Roman" w:eastAsia="Arial Unicode MS" w:hAnsi="Times New Roman" w:cs="Times New Roman"/>
                <w:bCs/>
                <w:color w:val="000000" w:themeColor="text1"/>
                <w:lang w:val="ro-RO"/>
              </w:rPr>
              <w:t>BCE sau</w:t>
            </w:r>
            <w:r w:rsidR="00544CBC" w:rsidRPr="003117B3">
              <w:rPr>
                <w:rFonts w:ascii="Times New Roman" w:eastAsia="Arial Unicode MS" w:hAnsi="Times New Roman" w:cs="Times New Roman"/>
                <w:bCs/>
                <w:color w:val="000000" w:themeColor="text1"/>
                <w:lang w:val="ro-RO"/>
              </w:rPr>
              <w:t xml:space="preserve"> </w:t>
            </w:r>
            <w:r w:rsidR="007375C5" w:rsidRPr="003117B3">
              <w:rPr>
                <w:rFonts w:ascii="Times New Roman" w:eastAsia="Arial Unicode MS" w:hAnsi="Times New Roman" w:cs="Times New Roman"/>
                <w:bCs/>
                <w:strike/>
                <w:color w:val="000000" w:themeColor="text1"/>
                <w:lang w:val="ro-RO"/>
              </w:rPr>
              <w:t xml:space="preserve"> </w:t>
            </w:r>
            <w:r w:rsidRPr="003117B3">
              <w:rPr>
                <w:rFonts w:ascii="Times New Roman" w:eastAsia="Arial Unicode MS" w:hAnsi="Times New Roman" w:cs="Times New Roman"/>
                <w:bCs/>
                <w:color w:val="000000" w:themeColor="text1"/>
                <w:lang w:val="ro-RO"/>
              </w:rPr>
              <w:t>banca centrală a unui alt stat;</w:t>
            </w:r>
          </w:p>
          <w:p w14:paraId="3ACDDCE0" w14:textId="77777777" w:rsidR="00FE076E" w:rsidRPr="003117B3" w:rsidRDefault="00FE076E" w:rsidP="00FE076E">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c) clienţii financiari;</w:t>
            </w:r>
          </w:p>
          <w:p w14:paraId="7ED8B701" w14:textId="5986CDA0" w:rsidR="004F4458" w:rsidRPr="003117B3" w:rsidRDefault="00FE076E"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 xml:space="preserve">4) orice altă datorie cu o scadenţă reziduală de minimum șase luni, dar mai mică de un an, care nu este </w:t>
            </w:r>
            <w:r w:rsidRPr="003117B3">
              <w:rPr>
                <w:rFonts w:ascii="Times New Roman" w:eastAsia="Arial Unicode MS" w:hAnsi="Times New Roman" w:cs="Times New Roman"/>
                <w:bCs/>
                <w:color w:val="000000" w:themeColor="text1"/>
                <w:lang w:val="ro-RO"/>
              </w:rPr>
              <w:lastRenderedPageBreak/>
              <w:t>menţionată la subsecțiunea 3-5 din prezenta secțiune.</w:t>
            </w:r>
          </w:p>
        </w:tc>
        <w:tc>
          <w:tcPr>
            <w:tcW w:w="336" w:type="pct"/>
          </w:tcPr>
          <w:p w14:paraId="5AF19AE5" w14:textId="3C480FB0" w:rsidR="004F4458" w:rsidRPr="003117B3" w:rsidRDefault="006D3F3D"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 xml:space="preserve">Parțial </w:t>
            </w:r>
            <w:r w:rsidR="003C3136" w:rsidRPr="003117B3">
              <w:rPr>
                <w:rFonts w:ascii="Times New Roman" w:hAnsi="Times New Roman" w:cs="Times New Roman"/>
                <w:b/>
                <w:color w:val="000000" w:themeColor="text1"/>
                <w:lang w:val="ro-MD"/>
              </w:rPr>
              <w:t>compatibil</w:t>
            </w:r>
          </w:p>
        </w:tc>
        <w:tc>
          <w:tcPr>
            <w:tcW w:w="1153" w:type="pct"/>
          </w:tcPr>
          <w:p w14:paraId="01D03503" w14:textId="438C5AD2" w:rsidR="004F4458" w:rsidRPr="003117B3" w:rsidRDefault="006D3F3D"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de la art.428l lit.b) subpct.vi) aferente cooperativelor de credit nu au fost transpuse în Regulamentul nr.44/2020 deoarece acestea lipsesc în Republica Moldova</w:t>
            </w:r>
            <w:r w:rsidR="00561B42" w:rsidRPr="003117B3">
              <w:rPr>
                <w:color w:val="000000" w:themeColor="text1"/>
                <w:lang w:val="ro-MD"/>
              </w:rPr>
              <w:t xml:space="preserve"> </w:t>
            </w:r>
            <w:r w:rsidR="00561B42" w:rsidRPr="003117B3">
              <w:rPr>
                <w:rFonts w:ascii="Times New Roman" w:hAnsi="Times New Roman" w:cs="Times New Roman"/>
                <w:color w:val="000000" w:themeColor="text1"/>
                <w:lang w:val="ro-MD"/>
              </w:rPr>
              <w:t>și nu sunt reglementate de cadrul primar.</w:t>
            </w:r>
          </w:p>
        </w:tc>
        <w:tc>
          <w:tcPr>
            <w:tcW w:w="674" w:type="pct"/>
          </w:tcPr>
          <w:p w14:paraId="2B8E6432"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398680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EC38AB3"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lastRenderedPageBreak/>
              <w:t>Articolul 428m</w:t>
            </w:r>
          </w:p>
          <w:p w14:paraId="7EACBADB"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disponibilă de 90 %</w:t>
            </w:r>
          </w:p>
          <w:p w14:paraId="0B3D2321" w14:textId="43896EDA"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Depozitelor de retail la vedere, depozitelor de retail cu perioadă fixă de preaviz mai mică de un an și depozitelor de retail la termen cu o scadenţă reziduală mai mică de un an care îndeplinesc criteriile relevante pentru alte depozite de retail prevăzute în actul delegat menţionat la articolul 460 alineatul (1) li se aplică un factor de finanţare stabilă disponibilă de 90 %.</w:t>
            </w:r>
          </w:p>
        </w:tc>
        <w:tc>
          <w:tcPr>
            <w:tcW w:w="1249" w:type="pct"/>
          </w:tcPr>
          <w:p w14:paraId="4A671471" w14:textId="3B07B2D6"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3. Factorul de finanţare stabilă disponibilă de 90 % </w:t>
            </w:r>
          </w:p>
          <w:p w14:paraId="437961C9" w14:textId="2E4F75E4" w:rsidR="004F4458" w:rsidRPr="003117B3" w:rsidRDefault="0015463F"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35</w:t>
            </w:r>
            <w:r w:rsidR="004F4458" w:rsidRPr="003117B3">
              <w:rPr>
                <w:rFonts w:ascii="Times New Roman" w:eastAsia="Arial Unicode MS" w:hAnsi="Times New Roman" w:cs="Times New Roman"/>
                <w:bCs/>
                <w:color w:val="000000" w:themeColor="text1"/>
                <w:lang w:val="ro-RO"/>
              </w:rPr>
              <w:t xml:space="preserve">. Depozitelor retail la vedere, depozitelor retail cu perioadă fixă de preaviz mai mică de un an și depozitelor retail la termen cu o scadenţă reziduală mai mică de un an care îndeplinesc criteriile relevante pentru alte depozite retail prevăzute în subsecțiunea 3, secțiunea 2, capitolul III, titlul II li se aplică un factor de finanţare stabilă disponibilă de 90 %. </w:t>
            </w:r>
          </w:p>
        </w:tc>
        <w:tc>
          <w:tcPr>
            <w:tcW w:w="336" w:type="pct"/>
          </w:tcPr>
          <w:p w14:paraId="22A929B9" w14:textId="69C688B4"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4EB25F8B"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2C084053"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7A365B0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26C01FD"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428n</w:t>
            </w:r>
          </w:p>
          <w:p w14:paraId="549504BA"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disponibilă de 95 %</w:t>
            </w:r>
          </w:p>
          <w:p w14:paraId="4135C491" w14:textId="73E327C9"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Depozitelor de retail la vedere, depozitelor de retail cu perioadă fixă de preaviz mai mică de un an și depozitelor de retail la termen cu o scadenţă reziduală mai mică de un an care îndeplinesc criteriile relevante pentru depozitele de retail stabile prevăzute în actul delegat menţionat la articolul 460 alineatul (1) li se aplică un factor de finanţare stabilă disponibilă de 95 %.</w:t>
            </w:r>
          </w:p>
        </w:tc>
        <w:tc>
          <w:tcPr>
            <w:tcW w:w="1249" w:type="pct"/>
          </w:tcPr>
          <w:p w14:paraId="73945B1A" w14:textId="400C82EE"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4. Factorul de finanţare stabilă disponibilă de 95 % </w:t>
            </w:r>
          </w:p>
          <w:p w14:paraId="46C2C152" w14:textId="17C2C0D6" w:rsidR="004F4458" w:rsidRPr="003117B3" w:rsidRDefault="0015463F"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36</w:t>
            </w:r>
            <w:r w:rsidR="004F4458" w:rsidRPr="003117B3">
              <w:rPr>
                <w:rFonts w:ascii="Times New Roman" w:eastAsia="Arial Unicode MS" w:hAnsi="Times New Roman" w:cs="Times New Roman"/>
                <w:bCs/>
                <w:color w:val="000000" w:themeColor="text1"/>
                <w:lang w:val="ro-RO"/>
              </w:rPr>
              <w:t>. Depozitelor retail la vedere, depozitelor retail cu perioadă fixă de preaviz mai mică de un an și depozitelor retail la termen cu o scadenţă reziduală mai mică de un an care îndeplinesc criteriile relevante pentru depozitele retail stabile prevăzute în subsecțiunea 2, secțiunea 2, capitolul III, titlul II li se aplică un factor de finanţare stabilă disponibilă de 95 %.</w:t>
            </w:r>
          </w:p>
        </w:tc>
        <w:tc>
          <w:tcPr>
            <w:tcW w:w="336" w:type="pct"/>
          </w:tcPr>
          <w:p w14:paraId="387F4E0B" w14:textId="40CC7D34" w:rsidR="004F4458" w:rsidRPr="003117B3" w:rsidRDefault="003C3136"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06E1BB04"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1CD032B7"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75E2C125"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3179EE3"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lastRenderedPageBreak/>
              <w:t>Articolul 428o</w:t>
            </w:r>
          </w:p>
          <w:p w14:paraId="7C3751CA"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disponibilă de 100 %</w:t>
            </w:r>
          </w:p>
          <w:p w14:paraId="71499EBA"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Următoarele datorii și următoarele elemente și instrumente de capital fac obiectul unui factor de finanţare stabilă disponibilă de 100 %:</w:t>
            </w:r>
          </w:p>
          <w:p w14:paraId="305B3896"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elementele de fonduri proprii de nivel 1 de bază ale instituţiei înainte de aplicarea ajustărilor prevăzute la articolele 32-35, a deducerilor în temeiul articolului 36 și a derogărilor și alternativelor prevăzute la articolele 48, 49 și 79;</w:t>
            </w:r>
          </w:p>
          <w:p w14:paraId="3696A57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elementele de fonduri proprii de nivel 1 suplimentar ale instituţiei înainte de deducerea elementelor menţionate la articolul 56 și înainte de a li se aplica articolul 79, excluzând orice instrument cu opţiuni explicite sau încorporate care, dacă ar fi exercitate, ar reduce scadenţa reziduală efectivă la mai puţin de un an;</w:t>
            </w:r>
          </w:p>
          <w:p w14:paraId="4C55967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elementele de fonduri proprii de nivel 2 ale instituţiei, înainte de deducerile menţionate la articolul 66 și înaintea aplicării articolului 79, care au o scadenţă reziduală de cel puţin un an, excluzând orice instrument cu opţiuni explicite sau încorporate care, dacă ar fi exercitate, ar reduce scadenţa reziduală efectivă la mai puţin de un an;</w:t>
            </w:r>
          </w:p>
          <w:p w14:paraId="1BFFCD26"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(d) orice alt instrument de capital al instituţiei care are o scadenţă reziduală de cel puţin un an, excluzând orice instrument cu opţiuni explicite sau încorporate care, dacă ar fi exercitate, ar reduce scadenţa reziduală efectivă la mai puţin de un an;</w:t>
            </w:r>
          </w:p>
          <w:p w14:paraId="7500620B" w14:textId="2ABA6495"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(e) orice alt împrumut și datorie garantată și negarantată cu o scadenţă reziduală de cel puţin un an, inclusiv depozitele la termen, cu excepţia cazului în care se prevede altfel la articolele 428k-428n.</w:t>
            </w:r>
          </w:p>
        </w:tc>
        <w:tc>
          <w:tcPr>
            <w:tcW w:w="1249" w:type="pct"/>
          </w:tcPr>
          <w:p w14:paraId="2447AD0E" w14:textId="24A744F0"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lastRenderedPageBreak/>
              <w:t xml:space="preserve">Subsecțiunea 5. Factorul de finanţare stabilă disponibilă de 100 % </w:t>
            </w:r>
          </w:p>
          <w:p w14:paraId="6CC6AB54" w14:textId="0C8DA3B5" w:rsidR="004F4458" w:rsidRPr="003117B3" w:rsidRDefault="0015463F"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37</w:t>
            </w:r>
            <w:r w:rsidR="004F4458" w:rsidRPr="003117B3">
              <w:rPr>
                <w:rFonts w:ascii="Times New Roman" w:eastAsia="Arial Unicode MS" w:hAnsi="Times New Roman" w:cs="Times New Roman"/>
                <w:bCs/>
                <w:color w:val="000000" w:themeColor="text1"/>
                <w:lang w:val="ro-RO"/>
              </w:rPr>
              <w:t>. Următoarele datorii și următoarele elemente și instrumente de capital fac obiectul unui factor de finanţare stabilă disponibilă de 100 %:</w:t>
            </w:r>
          </w:p>
          <w:p w14:paraId="1CA7AD07" w14:textId="661ADABE" w:rsidR="004F4458" w:rsidRPr="003117B3" w:rsidRDefault="004F4458" w:rsidP="001D170B">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elementele de fonduri proprii de nivel 1 de bază ale băncii înainte de aplicarea ajustărilor prevăzute </w:t>
            </w:r>
            <w:r w:rsidR="001D170B" w:rsidRPr="003117B3">
              <w:rPr>
                <w:rFonts w:ascii="Times New Roman" w:eastAsia="Arial Unicode MS" w:hAnsi="Times New Roman" w:cs="Times New Roman"/>
                <w:bCs/>
                <w:color w:val="000000" w:themeColor="text1"/>
                <w:lang w:val="ro-RO"/>
              </w:rPr>
              <w:t>la pct.26-29 din Regulamentul nr.109/2018 cu privire la fondurile proprii ale băncilor şi cerinţele de capital (în continuare – Regulamentul nr.109/2018)</w:t>
            </w:r>
            <w:r w:rsidRPr="003117B3">
              <w:rPr>
                <w:rFonts w:ascii="Times New Roman" w:eastAsia="Arial Unicode MS" w:hAnsi="Times New Roman" w:cs="Times New Roman"/>
                <w:bCs/>
                <w:color w:val="000000" w:themeColor="text1"/>
                <w:lang w:val="ro-RO"/>
              </w:rPr>
              <w:t xml:space="preserve">, a deducerilor în temeiul </w:t>
            </w:r>
            <w:r w:rsidR="001D170B" w:rsidRPr="003117B3">
              <w:rPr>
                <w:rFonts w:ascii="Times New Roman" w:eastAsia="Arial Unicode MS" w:hAnsi="Times New Roman" w:cs="Times New Roman"/>
                <w:bCs/>
                <w:color w:val="000000" w:themeColor="text1"/>
                <w:lang w:val="ro-RO"/>
              </w:rPr>
              <w:t>pct.30 din Regulamentul nr.109/2018</w:t>
            </w:r>
            <w:r w:rsidRPr="003117B3">
              <w:rPr>
                <w:rFonts w:ascii="Times New Roman" w:eastAsia="Arial Unicode MS" w:hAnsi="Times New Roman" w:cs="Times New Roman"/>
                <w:bCs/>
                <w:color w:val="000000" w:themeColor="text1"/>
                <w:lang w:val="ro-RO"/>
              </w:rPr>
              <w:t xml:space="preserve"> și a derogărilor și alternativelor prevăzute la </w:t>
            </w:r>
            <w:r w:rsidR="001D170B" w:rsidRPr="003117B3">
              <w:rPr>
                <w:rFonts w:ascii="Times New Roman" w:eastAsia="Arial Unicode MS" w:hAnsi="Times New Roman" w:cs="Times New Roman"/>
                <w:bCs/>
                <w:color w:val="000000" w:themeColor="text1"/>
                <w:lang w:val="ro-RO"/>
              </w:rPr>
              <w:t>pct.63-67 și pct.126</w:t>
            </w:r>
            <w:r w:rsidR="001D170B" w:rsidRPr="003117B3">
              <w:rPr>
                <w:rFonts w:ascii="Times New Roman" w:hAnsi="Times New Roman" w:cs="Times New Roman"/>
                <w:color w:val="000000" w:themeColor="text1"/>
                <w:lang w:val="it-IT"/>
              </w:rPr>
              <w:t xml:space="preserve"> </w:t>
            </w:r>
            <w:r w:rsidR="001D170B" w:rsidRPr="003117B3">
              <w:rPr>
                <w:rFonts w:ascii="Times New Roman" w:eastAsia="Arial Unicode MS" w:hAnsi="Times New Roman" w:cs="Times New Roman"/>
                <w:bCs/>
                <w:color w:val="000000" w:themeColor="text1"/>
                <w:lang w:val="ro-RO"/>
              </w:rPr>
              <w:t>din Regulamentul nr.109/2018</w:t>
            </w:r>
            <w:r w:rsidRPr="003117B3">
              <w:rPr>
                <w:rFonts w:ascii="Times New Roman" w:eastAsia="Arial Unicode MS" w:hAnsi="Times New Roman" w:cs="Times New Roman"/>
                <w:bCs/>
                <w:color w:val="000000" w:themeColor="text1"/>
                <w:lang w:val="ro-RO"/>
              </w:rPr>
              <w:t>;</w:t>
            </w:r>
          </w:p>
          <w:p w14:paraId="67A5B497" w14:textId="3FED9F69"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2) elementele de fonduri proprii de nivel 1 suplimentar ale băncii înainte de deducerea elementelor menţionate la </w:t>
            </w:r>
            <w:r w:rsidR="001D170B" w:rsidRPr="003117B3">
              <w:rPr>
                <w:rFonts w:ascii="Times New Roman" w:eastAsia="Arial Unicode MS" w:hAnsi="Times New Roman" w:cs="Times New Roman"/>
                <w:bCs/>
                <w:color w:val="000000" w:themeColor="text1"/>
                <w:lang w:val="ro-RO"/>
              </w:rPr>
              <w:t>pct.87</w:t>
            </w:r>
            <w:r w:rsidR="001D170B" w:rsidRPr="003117B3">
              <w:rPr>
                <w:rFonts w:ascii="Times New Roman" w:hAnsi="Times New Roman" w:cs="Times New Roman"/>
                <w:color w:val="000000" w:themeColor="text1"/>
                <w:lang w:val="it-IT"/>
              </w:rPr>
              <w:t xml:space="preserve"> </w:t>
            </w:r>
            <w:r w:rsidR="001D170B" w:rsidRPr="003117B3">
              <w:rPr>
                <w:rFonts w:ascii="Times New Roman" w:eastAsia="Arial Unicode MS" w:hAnsi="Times New Roman" w:cs="Times New Roman"/>
                <w:bCs/>
                <w:color w:val="000000" w:themeColor="text1"/>
                <w:lang w:val="ro-RO"/>
              </w:rPr>
              <w:t xml:space="preserve">din Regulamentul nr.109/2018 </w:t>
            </w:r>
            <w:r w:rsidRPr="003117B3">
              <w:rPr>
                <w:rFonts w:ascii="Times New Roman" w:eastAsia="Arial Unicode MS" w:hAnsi="Times New Roman" w:cs="Times New Roman"/>
                <w:bCs/>
                <w:color w:val="000000" w:themeColor="text1"/>
                <w:lang w:val="ro-RO"/>
              </w:rPr>
              <w:t xml:space="preserve">și înainte de a li se aplica </w:t>
            </w:r>
            <w:r w:rsidR="001D170B" w:rsidRPr="003117B3">
              <w:rPr>
                <w:rFonts w:ascii="Times New Roman" w:eastAsia="Arial Unicode MS" w:hAnsi="Times New Roman" w:cs="Times New Roman"/>
                <w:bCs/>
                <w:color w:val="000000" w:themeColor="text1"/>
                <w:lang w:val="ro-RO"/>
              </w:rPr>
              <w:t>pct.126 din Regulamentul nr.109/2018</w:t>
            </w:r>
            <w:r w:rsidRPr="003117B3">
              <w:rPr>
                <w:rFonts w:ascii="Times New Roman" w:eastAsia="Arial Unicode MS" w:hAnsi="Times New Roman" w:cs="Times New Roman"/>
                <w:bCs/>
                <w:color w:val="000000" w:themeColor="text1"/>
                <w:lang w:val="ro-RO"/>
              </w:rPr>
              <w:t xml:space="preserve">, excluzând orice instrument cu opţiuni explicite sau încorporate care, dacă ar fi exercitate, ar reduce scadenţa </w:t>
            </w:r>
            <w:r w:rsidRPr="003117B3">
              <w:rPr>
                <w:rFonts w:ascii="Times New Roman" w:eastAsia="Arial Unicode MS" w:hAnsi="Times New Roman" w:cs="Times New Roman"/>
                <w:bCs/>
                <w:color w:val="000000" w:themeColor="text1"/>
                <w:lang w:val="ro-RO"/>
              </w:rPr>
              <w:lastRenderedPageBreak/>
              <w:t>reziduală efectivă la mai puţin de un an;</w:t>
            </w:r>
          </w:p>
          <w:p w14:paraId="5B0DF6E5" w14:textId="5D39293B"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3) elementele de fonduri proprii de nivel 2 ale băncii, înainte de deducerile menţionate la </w:t>
            </w:r>
            <w:r w:rsidR="001D170B" w:rsidRPr="003117B3">
              <w:rPr>
                <w:rFonts w:ascii="Times New Roman" w:eastAsia="Arial Unicode MS" w:hAnsi="Times New Roman" w:cs="Times New Roman"/>
                <w:bCs/>
                <w:color w:val="000000" w:themeColor="text1"/>
                <w:lang w:val="ro-RO"/>
              </w:rPr>
              <w:t>pct.100</w:t>
            </w:r>
            <w:r w:rsidR="001D170B" w:rsidRPr="003117B3">
              <w:rPr>
                <w:rFonts w:ascii="Times New Roman" w:hAnsi="Times New Roman" w:cs="Times New Roman"/>
                <w:color w:val="000000" w:themeColor="text1"/>
                <w:lang w:val="it-IT"/>
              </w:rPr>
              <w:t xml:space="preserve"> </w:t>
            </w:r>
            <w:r w:rsidR="001D170B" w:rsidRPr="003117B3">
              <w:rPr>
                <w:rFonts w:ascii="Times New Roman" w:eastAsia="Arial Unicode MS" w:hAnsi="Times New Roman" w:cs="Times New Roman"/>
                <w:bCs/>
                <w:color w:val="000000" w:themeColor="text1"/>
                <w:lang w:val="ro-RO"/>
              </w:rPr>
              <w:t xml:space="preserve">din Regulamentul nr.109/2018 </w:t>
            </w:r>
            <w:r w:rsidRPr="003117B3">
              <w:rPr>
                <w:rFonts w:ascii="Times New Roman" w:eastAsia="Arial Unicode MS" w:hAnsi="Times New Roman" w:cs="Times New Roman"/>
                <w:bCs/>
                <w:color w:val="000000" w:themeColor="text1"/>
                <w:lang w:val="ro-RO"/>
              </w:rPr>
              <w:t xml:space="preserve"> și înaintea aplicării </w:t>
            </w:r>
            <w:r w:rsidR="001D170B" w:rsidRPr="003117B3">
              <w:rPr>
                <w:rFonts w:ascii="Times New Roman" w:eastAsia="Arial Unicode MS" w:hAnsi="Times New Roman" w:cs="Times New Roman"/>
                <w:bCs/>
                <w:color w:val="000000" w:themeColor="text1"/>
                <w:lang w:val="ro-RO"/>
              </w:rPr>
              <w:t>pct.126 din Regulamentul nr.109/2018</w:t>
            </w:r>
            <w:r w:rsidRPr="003117B3">
              <w:rPr>
                <w:rFonts w:ascii="Times New Roman" w:eastAsia="Arial Unicode MS" w:hAnsi="Times New Roman" w:cs="Times New Roman"/>
                <w:bCs/>
                <w:color w:val="000000" w:themeColor="text1"/>
                <w:lang w:val="ro-RO"/>
              </w:rPr>
              <w:t>, care au o scadenţă reziduală de cel puţin un an, excluzând orice instrument cu opţiuni explicite sau încorporate care, dacă ar fi exercitate, ar reduce scadenţa reziduală efectivă la mai puţin de un an;</w:t>
            </w:r>
          </w:p>
          <w:p w14:paraId="41C59A90" w14:textId="5AB125CF"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4) orice alt instrument de capital al </w:t>
            </w:r>
            <w:r w:rsidR="00CA02C8" w:rsidRPr="003117B3">
              <w:rPr>
                <w:rFonts w:ascii="Times New Roman" w:eastAsia="Arial Unicode MS" w:hAnsi="Times New Roman" w:cs="Times New Roman"/>
                <w:bCs/>
                <w:color w:val="000000" w:themeColor="text1"/>
                <w:lang w:val="ro-RO"/>
              </w:rPr>
              <w:t>băncii</w:t>
            </w:r>
            <w:r w:rsidRPr="003117B3">
              <w:rPr>
                <w:rFonts w:ascii="Times New Roman" w:eastAsia="Arial Unicode MS" w:hAnsi="Times New Roman" w:cs="Times New Roman"/>
                <w:bCs/>
                <w:color w:val="000000" w:themeColor="text1"/>
                <w:lang w:val="ro-RO"/>
              </w:rPr>
              <w:t xml:space="preserve"> care are o scadenţă reziduală de cel puţin un an, excluzând orice instrument cu opţiuni explicite sau încorporate care, dacă ar fi exercitate, ar reduce scadenţa reziduală efectivă la mai puţin de un an;</w:t>
            </w:r>
          </w:p>
          <w:p w14:paraId="2ABE28F9" w14:textId="256C8F09"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5) orice alt împrumut și datorie garantată și negarantată cu o scadenţă reziduală de cel puţin un an, inclusiv depozitele la termen, cu excepţia cazului în care se prevede altfel la subsecțiunea 1-4 din prezenta secțiune.</w:t>
            </w:r>
          </w:p>
        </w:tc>
        <w:tc>
          <w:tcPr>
            <w:tcW w:w="336" w:type="pct"/>
          </w:tcPr>
          <w:p w14:paraId="5C369E5D" w14:textId="0032146B" w:rsidR="004F4458" w:rsidRPr="003117B3" w:rsidRDefault="001D170B"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366641AF"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0BF29FA2"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BBC5C21"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FC00A71"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lastRenderedPageBreak/>
              <w:t>CAPITOLUL 4</w:t>
            </w:r>
          </w:p>
          <w:p w14:paraId="755D69C3"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Finanţarea stabilă necesară</w:t>
            </w:r>
          </w:p>
          <w:p w14:paraId="1BAF6071"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S e c ţ i u n e a 1</w:t>
            </w:r>
          </w:p>
          <w:p w14:paraId="3213999B"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D i s p o z i ţ i i g e n e r a l e</w:t>
            </w:r>
          </w:p>
          <w:p w14:paraId="34F89EE2"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428p</w:t>
            </w:r>
          </w:p>
          <w:p w14:paraId="40F41A32"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Calcularea cuantumului finanţării stabile obligatorii</w:t>
            </w:r>
          </w:p>
          <w:p w14:paraId="3FAE72CF" w14:textId="4FBD89D0"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(1) Cu excepţia cazului în care se prevede altfel în prezentul capitol, cuantumul finanţării stabile obligatorii se calculează înmulţind valoarea contabilă a diferitelor categorii sau tipuri de active și a elementelor extrabilanţiere cu factorii de finanţare stabilă necesară care trebuie aplicaţi în temeiul secţiunii 2. Valoarea totală a finanţării stabile obligatorii este suma cuantumurilor ponderate ale activelor și elementelor extrabilanţiere.</w:t>
            </w:r>
          </w:p>
        </w:tc>
        <w:tc>
          <w:tcPr>
            <w:tcW w:w="1249" w:type="pct"/>
          </w:tcPr>
          <w:p w14:paraId="173384EC" w14:textId="77777777" w:rsidR="004F4458" w:rsidRPr="003117B3" w:rsidRDefault="004F4458" w:rsidP="004F4458">
            <w:pPr>
              <w:autoSpaceDE w:val="0"/>
              <w:autoSpaceDN w:val="0"/>
              <w:adjustRightInd w:val="0"/>
              <w:spacing w:after="120" w:line="240" w:lineRule="auto"/>
              <w:jc w:val="center"/>
              <w:rPr>
                <w:rFonts w:ascii="Times New Roman" w:eastAsia="Arial Unicode MS" w:hAnsi="Times New Roman" w:cs="Times New Roman"/>
                <w:b/>
                <w:bCs/>
                <w:color w:val="000000" w:themeColor="text1"/>
                <w:lang w:val="ro-RO"/>
              </w:rPr>
            </w:pPr>
            <w:r w:rsidRPr="003117B3">
              <w:rPr>
                <w:rFonts w:ascii="Times New Roman" w:eastAsia="Times New Roman" w:hAnsi="Times New Roman" w:cs="Times New Roman"/>
                <w:b/>
                <w:bCs/>
                <w:color w:val="000000" w:themeColor="text1"/>
                <w:lang w:val="ro-RO"/>
              </w:rPr>
              <w:t>CAPITOLUL III</w:t>
            </w:r>
          </w:p>
          <w:p w14:paraId="2E7F1519" w14:textId="77777777" w:rsidR="004F4458" w:rsidRPr="003117B3" w:rsidRDefault="004F4458" w:rsidP="004F4458">
            <w:pPr>
              <w:autoSpaceDE w:val="0"/>
              <w:autoSpaceDN w:val="0"/>
              <w:adjustRightInd w:val="0"/>
              <w:spacing w:after="120" w:line="240" w:lineRule="auto"/>
              <w:jc w:val="center"/>
              <w:rPr>
                <w:rFonts w:ascii="Times New Roman" w:eastAsia="Times New Roman" w:hAnsi="Times New Roman" w:cs="Times New Roman"/>
                <w:b/>
                <w:bCs/>
                <w:color w:val="000000" w:themeColor="text1"/>
                <w:lang w:val="ro-RO"/>
              </w:rPr>
            </w:pPr>
            <w:r w:rsidRPr="003117B3">
              <w:rPr>
                <w:rFonts w:ascii="Times New Roman" w:eastAsia="Times New Roman" w:hAnsi="Times New Roman" w:cs="Times New Roman"/>
                <w:b/>
                <w:bCs/>
                <w:color w:val="000000" w:themeColor="text1"/>
                <w:lang w:val="ro-RO"/>
              </w:rPr>
              <w:t>FINANŢAREA STABILĂ NECESARĂ</w:t>
            </w:r>
          </w:p>
          <w:p w14:paraId="5C591EDF" w14:textId="77777777" w:rsidR="004F4458" w:rsidRPr="003117B3" w:rsidRDefault="004F4458" w:rsidP="004F4458">
            <w:pPr>
              <w:tabs>
                <w:tab w:val="left" w:pos="265"/>
              </w:tabs>
              <w:spacing w:after="120" w:line="240" w:lineRule="auto"/>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t>Secțiunea 1  Dispoziții  generale</w:t>
            </w:r>
          </w:p>
          <w:p w14:paraId="62023317" w14:textId="30CE079C"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1. Calcularea cuantumului finanţării stabile </w:t>
            </w:r>
            <w:r w:rsidR="00D43035" w:rsidRPr="003117B3">
              <w:rPr>
                <w:rFonts w:ascii="Times New Roman" w:eastAsia="Arial Unicode MS" w:hAnsi="Times New Roman" w:cs="Times New Roman"/>
                <w:b/>
                <w:bCs/>
                <w:i/>
                <w:color w:val="000000" w:themeColor="text1"/>
                <w:lang w:val="ro-RO"/>
              </w:rPr>
              <w:t>necesare</w:t>
            </w:r>
            <w:r w:rsidRPr="003117B3">
              <w:rPr>
                <w:rFonts w:ascii="Times New Roman" w:eastAsia="Arial Unicode MS" w:hAnsi="Times New Roman" w:cs="Times New Roman"/>
                <w:b/>
                <w:bCs/>
                <w:i/>
                <w:color w:val="000000" w:themeColor="text1"/>
                <w:lang w:val="ro-RO"/>
              </w:rPr>
              <w:t xml:space="preserve"> </w:t>
            </w:r>
          </w:p>
          <w:p w14:paraId="227754A7" w14:textId="01638FCF" w:rsidR="004F4458" w:rsidRPr="003117B3" w:rsidRDefault="0015463F" w:rsidP="004F4458">
            <w:pPr>
              <w:spacing w:after="0" w:line="276"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38</w:t>
            </w:r>
            <w:r w:rsidR="004F4458" w:rsidRPr="003117B3">
              <w:rPr>
                <w:rFonts w:ascii="Times New Roman" w:eastAsia="Arial Unicode MS" w:hAnsi="Times New Roman" w:cs="Times New Roman"/>
                <w:bCs/>
                <w:color w:val="000000" w:themeColor="text1"/>
                <w:lang w:val="ro-RO"/>
              </w:rPr>
              <w:t>. Cu excepţia cazului în care se prevede altfel în prezentul capitol, cuantumul finanţării stabile necesare se calculează înmulţind valoarea contabilă a diferitelor categorii sau tipuri de active și a elementelor extrabilanţiere cu factorii de finanţare stabilă necesară care trebuie aplicaţi în temeiul secţiunii 2 din prezentul capitol. Valoarea totală a finanţării stabile necesare este suma cuantumurilor ponderate ale activelor și elementelor extrabilanţiere.</w:t>
            </w:r>
          </w:p>
        </w:tc>
        <w:tc>
          <w:tcPr>
            <w:tcW w:w="336" w:type="pct"/>
          </w:tcPr>
          <w:p w14:paraId="56F76242" w14:textId="70300E7B" w:rsidR="004F4458" w:rsidRPr="003117B3" w:rsidRDefault="003500D0"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6B8164C7"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5E040839"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0D3B86C6"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5C8CDE4" w14:textId="77777777"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 xml:space="preserve">(2) Activele pe care instituţiile le-au luat cu împrumut, inclusiv în cadrul operaţiunilor de finanţare prin titluri de valoare, sunt excluse de la calculul cuantumului finanţării stabile obligatorii </w:t>
            </w:r>
            <w:r w:rsidRPr="003117B3">
              <w:rPr>
                <w:rFonts w:ascii="Times New Roman" w:hAnsi="Times New Roman" w:cs="Times New Roman"/>
                <w:color w:val="000000" w:themeColor="text1"/>
              </w:rPr>
              <w:lastRenderedPageBreak/>
              <w:t>în cazul în care aceste active sunt contabilizate în bilanţul instituţiei, iar instituţia nu deţine activele în calitate de beneficiar real.</w:t>
            </w:r>
          </w:p>
          <w:p w14:paraId="429E5686" w14:textId="70177A59"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Activele pe care instituţiile le-au luat cu împrumut, inclusiv în cadrul operaţiunilor de finanţare prin titluri de valoare, fac obiectul factorilor de finanţare stabilă necesară care trebuie aplicaţi în temeiul secţiunii 2 în cazul în care aceste active nu sunt contabilizate în bilanţul instituţiei, dar instituţia deţine activele în calitate de beneficiar real.</w:t>
            </w:r>
          </w:p>
        </w:tc>
        <w:tc>
          <w:tcPr>
            <w:tcW w:w="1249" w:type="pct"/>
          </w:tcPr>
          <w:p w14:paraId="00F15FE2" w14:textId="414D4F8E" w:rsidR="004F4458" w:rsidRPr="003117B3" w:rsidRDefault="0015463F"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lastRenderedPageBreak/>
              <w:t>109</w:t>
            </w:r>
            <w:r w:rsidRPr="003117B3">
              <w:rPr>
                <w:rFonts w:ascii="Times New Roman" w:eastAsia="Arial Unicode MS" w:hAnsi="Times New Roman" w:cs="Times New Roman"/>
                <w:b/>
                <w:bCs/>
                <w:color w:val="000000" w:themeColor="text1"/>
                <w:vertAlign w:val="superscript"/>
                <w:lang w:val="ro-RO"/>
              </w:rPr>
              <w:t>39</w:t>
            </w:r>
            <w:r w:rsidR="004F4458" w:rsidRPr="003117B3">
              <w:rPr>
                <w:rFonts w:ascii="Times New Roman" w:eastAsia="Arial Unicode MS" w:hAnsi="Times New Roman" w:cs="Times New Roman"/>
                <w:bCs/>
                <w:color w:val="000000" w:themeColor="text1"/>
                <w:lang w:val="ro-RO"/>
              </w:rPr>
              <w:t xml:space="preserve">. Activele pe care băncile le-au luat cu împrumut, inclusiv în cadrul operaţiunilor de finanţare prin titluri de valoare, sunt excluse de la calculul cuantumului finanţării stabile necesare </w:t>
            </w:r>
            <w:r w:rsidR="004F4458" w:rsidRPr="003117B3">
              <w:rPr>
                <w:rFonts w:ascii="Times New Roman" w:eastAsia="Arial Unicode MS" w:hAnsi="Times New Roman" w:cs="Times New Roman"/>
                <w:bCs/>
                <w:color w:val="000000" w:themeColor="text1"/>
                <w:lang w:val="ro-RO"/>
              </w:rPr>
              <w:lastRenderedPageBreak/>
              <w:t>în cazul în care aceste active sunt contabilizate în bilanţul băncii, iar banca nu deţine activele în calitate de beneficiar efectiv.</w:t>
            </w:r>
          </w:p>
          <w:p w14:paraId="4F6A19F0" w14:textId="5693370F" w:rsidR="004F4458" w:rsidRPr="003117B3" w:rsidRDefault="0015463F" w:rsidP="004F4458">
            <w:pPr>
              <w:spacing w:after="0" w:line="276"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40</w:t>
            </w:r>
            <w:r w:rsidR="004F4458" w:rsidRPr="003117B3">
              <w:rPr>
                <w:rFonts w:ascii="Times New Roman" w:eastAsia="Arial Unicode MS" w:hAnsi="Times New Roman" w:cs="Times New Roman"/>
                <w:bCs/>
                <w:color w:val="000000" w:themeColor="text1"/>
                <w:lang w:val="ro-RO"/>
              </w:rPr>
              <w:t>. Activele pe care băncile le-au luat cu împrumut, inclusiv în cadrul operaţiunilor de finanţare prin titluri de valoare, fac obiectul factorilor de finanţare stabilă necesară care trebuie aplicaţi în temeiul secţiunii 2 din prezentul capitol în cazul în care aceste active nu sunt contabilizate în bilanţul băncii, dar banca deţine activele în calitate de beneficiar efectiv.</w:t>
            </w:r>
          </w:p>
        </w:tc>
        <w:tc>
          <w:tcPr>
            <w:tcW w:w="336" w:type="pct"/>
          </w:tcPr>
          <w:p w14:paraId="3471DC10" w14:textId="04A11C8F" w:rsidR="004F4458" w:rsidRPr="003117B3" w:rsidRDefault="003500D0"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0F141D6B"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11B94FEA"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42FC8D74"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7E24114" w14:textId="66BF950B"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rPr>
              <w:t xml:space="preserve">(3) Activele pe care instituţiile le-au dat cu împrumut, inclusiv în cadrul operaţiunilor de finanţare prin titluri de valoare pe care instituţia le deţine în calitate de beneficiar real, sunt considerate ca fiind active grevate de sarcini în sensul prezentului capitol și fac obiectul factorilor de finanţare stabilă necesară care trebuie aplicaţi în temeiul secţiunii 2, chiar dacă activele nu rămân în bilanţul instituţiei. </w:t>
            </w:r>
            <w:r w:rsidRPr="003117B3">
              <w:rPr>
                <w:rFonts w:ascii="Times New Roman" w:hAnsi="Times New Roman" w:cs="Times New Roman"/>
                <w:color w:val="000000" w:themeColor="text1"/>
                <w:lang w:val="it-IT"/>
              </w:rPr>
              <w:t>În caz contrar, astfel de active sunt excluse de la calculul cuantumului finanţării stabile obligatorii.</w:t>
            </w:r>
          </w:p>
        </w:tc>
        <w:tc>
          <w:tcPr>
            <w:tcW w:w="1249" w:type="pct"/>
          </w:tcPr>
          <w:p w14:paraId="6DE795F2" w14:textId="50B81613" w:rsidR="004F4458" w:rsidRPr="003117B3" w:rsidRDefault="0015463F"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41</w:t>
            </w:r>
            <w:r w:rsidR="004F4458" w:rsidRPr="003117B3">
              <w:rPr>
                <w:rFonts w:ascii="Times New Roman" w:eastAsia="Arial Unicode MS" w:hAnsi="Times New Roman" w:cs="Times New Roman"/>
                <w:bCs/>
                <w:color w:val="000000" w:themeColor="text1"/>
                <w:lang w:val="ro-RO"/>
              </w:rPr>
              <w:t xml:space="preserve">. Activele pe care băncile le-au dat cu împrumut, inclusiv în cadrul operaţiunilor de finanţare prin titluri de valoare pe care banca le deţine în calitate de beneficiar efectiv, sunt considerate ca fiind active grevate de sarcini în sensul prezentului capitol și fac obiectul factorilor de finanţare stabilă necesară care trebuie aplicaţi în temeiul secţiunii 2 din prezentul capitol, chiar dacă activele nu rămân în bilanţul băncii. În caz contrar, astfel de </w:t>
            </w:r>
            <w:r w:rsidR="004F4458" w:rsidRPr="003117B3">
              <w:rPr>
                <w:rFonts w:ascii="Times New Roman" w:eastAsia="Arial Unicode MS" w:hAnsi="Times New Roman" w:cs="Times New Roman"/>
                <w:bCs/>
                <w:color w:val="000000" w:themeColor="text1"/>
                <w:lang w:val="ro-RO"/>
              </w:rPr>
              <w:lastRenderedPageBreak/>
              <w:t>active sunt excluse de la calculul cuantumului finanţării stabile necesare.</w:t>
            </w:r>
          </w:p>
        </w:tc>
        <w:tc>
          <w:tcPr>
            <w:tcW w:w="336" w:type="pct"/>
          </w:tcPr>
          <w:p w14:paraId="68706484" w14:textId="600242C6" w:rsidR="004F4458" w:rsidRPr="003117B3" w:rsidRDefault="003500D0"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3ACD02AE"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65ECA82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0B7DE4A1"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F0CE80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(4) Activele care sunt grevate de sarcini cu o scadenţă reziduală de cel puţin șase luni sunt atribuite fie factorului de finanţare stabilă necesară care ar fi aplicat în temeiul secţiunii 2 activelor respective dacă ar fi negrevate de sarcini, fie factorului de finanţare stabilă necesară care este în general aplicabil activelor grevate respective, oricare dintre factori este mai mare. Același lucru se întâmplă în cazul în care scadenţa reziduală a activelor grevate de sarcini este mai scurtă decât scadenţa reziduală a tranzacţiei care a generat grevarea de sarcini. ▼M8</w:t>
            </w:r>
          </w:p>
          <w:p w14:paraId="67D419FE" w14:textId="75532730"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Activele din a căror perioadă a grevării de sarcini au mai rămas mai puţin de șase luni fac obiectul factorilor de finanţare stabilă necesară care trebuie aplicaţi, în temeiul secţiunii 2, acelorași active dacă ar fi negrevate de sarcini.</w:t>
            </w:r>
          </w:p>
        </w:tc>
        <w:tc>
          <w:tcPr>
            <w:tcW w:w="1249" w:type="pct"/>
          </w:tcPr>
          <w:p w14:paraId="2171EAF5" w14:textId="159D7E07" w:rsidR="004F4458" w:rsidRPr="003117B3" w:rsidRDefault="0015463F"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42</w:t>
            </w:r>
            <w:r w:rsidR="004F4458" w:rsidRPr="003117B3">
              <w:rPr>
                <w:rFonts w:ascii="Times New Roman" w:eastAsia="Arial Unicode MS" w:hAnsi="Times New Roman" w:cs="Times New Roman"/>
                <w:bCs/>
                <w:color w:val="000000" w:themeColor="text1"/>
                <w:lang w:val="ro-RO"/>
              </w:rPr>
              <w:t xml:space="preserve">. Activele care sunt grevate de sarcini cu o scadenţă reziduală de cel puţin șase luni sunt atribuite fie factorului de finanţare stabilă necesară care ar fi aplicat în temeiul secţiunii 2 din prezentul capitol activelor respective dacă ar fi negrevate de sarcini, fie factorului de finanţare stabilă necesară care este în general aplicabil activelor grevate respective, oricare dintre factori este mai mare. Același lucru se întâmplă în cazul în care scadenţa reziduală a activelor grevate de sarcini este mai scurtă decât scadenţa reziduală a tranzacţiei care a generat grevarea de sarcini. </w:t>
            </w:r>
          </w:p>
          <w:p w14:paraId="4EF61FDB" w14:textId="4133AD85" w:rsidR="004F4458" w:rsidRPr="003117B3" w:rsidRDefault="0015463F"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43</w:t>
            </w:r>
            <w:r w:rsidR="004F4458" w:rsidRPr="003117B3">
              <w:rPr>
                <w:rFonts w:ascii="Times New Roman" w:eastAsia="Arial Unicode MS" w:hAnsi="Times New Roman" w:cs="Times New Roman"/>
                <w:bCs/>
                <w:color w:val="000000" w:themeColor="text1"/>
                <w:lang w:val="ro-RO"/>
              </w:rPr>
              <w:t>. Activele din a căror perioadă a grevării de sarcini au mai rămas mai puţin de șase luni fac obiectul factorilor de finanţare stabilă necesară care trebuie aplicaţi, în temeiul secţiunii 2 din prezentul capitol, acelorași active dacă ar fi negrevate de sarcini.</w:t>
            </w:r>
          </w:p>
        </w:tc>
        <w:tc>
          <w:tcPr>
            <w:tcW w:w="336" w:type="pct"/>
          </w:tcPr>
          <w:p w14:paraId="5330F4B1" w14:textId="39A89DB5" w:rsidR="004F4458" w:rsidRPr="003117B3" w:rsidRDefault="003500D0"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182805DE"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5275C7C6"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19220EA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23176C8" w14:textId="11E7BC92"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lastRenderedPageBreak/>
              <w:t>(5) În cazul în care o instituţie reutilizează sau gajează din nou un activ care a fost luat cu împrumut, inclusiv în cadrul unor operaţiuni de finanţare prin titluri de valoare, iar activul respectiv este contabilizat în afara bilanţului, tranzacţia în legătură cu care acest activ a fost luat cu împrumut este considerată grevată de sarcini cu condiţia ca tranzacţia să nu poată ajunge la scadenţă fără ca instituţia să returneze activul luat cu împrumut.</w:t>
            </w:r>
          </w:p>
        </w:tc>
        <w:tc>
          <w:tcPr>
            <w:tcW w:w="1249" w:type="pct"/>
          </w:tcPr>
          <w:p w14:paraId="7EA6C000" w14:textId="7694A041" w:rsidR="004F4458" w:rsidRPr="003117B3" w:rsidRDefault="00B40D86"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44</w:t>
            </w:r>
            <w:r w:rsidR="004F4458" w:rsidRPr="003117B3">
              <w:rPr>
                <w:rFonts w:ascii="Times New Roman" w:eastAsia="Arial Unicode MS" w:hAnsi="Times New Roman" w:cs="Times New Roman"/>
                <w:bCs/>
                <w:color w:val="000000" w:themeColor="text1"/>
                <w:lang w:val="ro-RO"/>
              </w:rPr>
              <w:t>. În cazul în care o bancă reutilizează sau gajează din nou un activ care a fost luat cu împrumut, inclusiv în cadrul unor operaţiuni de finanţare prin titluri de valoare, iar activul respectiv este contabilizat în afara bilanţului, tranzacţia în legătură cu care acest activ a fost luat cu împrumut este considerată grevată de sarcini cu condiţia ca tranzacţia să nu poată ajunge la scadenţă fără ca banca să returneze activul luat cu împrumut.</w:t>
            </w:r>
          </w:p>
        </w:tc>
        <w:tc>
          <w:tcPr>
            <w:tcW w:w="336" w:type="pct"/>
          </w:tcPr>
          <w:p w14:paraId="5E20CF09" w14:textId="0879265E" w:rsidR="004F4458" w:rsidRPr="003117B3" w:rsidRDefault="003500D0"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2BB38308"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20B69FED"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3862380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EE09284"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(6) Următoarele active sunt considerate a fi negrevate de sarcini:</w:t>
            </w:r>
          </w:p>
          <w:p w14:paraId="1861BEA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 activele dintr-un portofoliu care pot fi utilizate imediat ca garanţii reale pentru obţinerea de finanţare suplimentară în cadrul liniilor de credit angajate sau, atunci când portofoliul este administrat de o bancă centrală, al liniilor de credit neangajate, dar încă nefinanţate, care se află la dispoziţia instituţiei. Aceste active includ activele plasate de o instituţie de credit la o instituţie centrală într-o reţea cooperatistă sau într-un sistem instituţional de protecţie. Instituţiile presupun că activele din portofoliu sunt grevate de sarcini în ordinea crescătoare a gradului de lichiditate pe baza </w:t>
            </w:r>
            <w:r w:rsidRPr="003117B3">
              <w:rPr>
                <w:rFonts w:ascii="Times New Roman" w:hAnsi="Times New Roman" w:cs="Times New Roman"/>
                <w:color w:val="000000" w:themeColor="text1"/>
                <w:lang w:val="it-IT"/>
              </w:rPr>
              <w:lastRenderedPageBreak/>
              <w:t>clasificării lichidităţii în temeiul actului delegat menţionat la articolul 460 alineatul (1), începând cu activele neeligibile pentru rezerva de lichidităţi;</w:t>
            </w:r>
          </w:p>
          <w:p w14:paraId="78DCBBD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activele pe care instituţia le-a primit ca garanţii reale pentru diminuarea riscului de credit în cadrul unor tranzacţii de creditare garantate, de finanţare garantată sau de schimb de garanţii reale și pe care instituţia le poate înstrăina;</w:t>
            </w:r>
          </w:p>
          <w:p w14:paraId="59AE8353" w14:textId="79BC21BC"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activele atașate cu titlu de supragarantare neobligatorie la o emisiune de obligaţiuni garantate.</w:t>
            </w:r>
          </w:p>
        </w:tc>
        <w:tc>
          <w:tcPr>
            <w:tcW w:w="1249" w:type="pct"/>
          </w:tcPr>
          <w:p w14:paraId="401EFF9A" w14:textId="41B94B3C" w:rsidR="003500D0" w:rsidRPr="003117B3" w:rsidRDefault="00B40D86" w:rsidP="003500D0">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lastRenderedPageBreak/>
              <w:t>109</w:t>
            </w:r>
            <w:r w:rsidRPr="003117B3">
              <w:rPr>
                <w:rFonts w:ascii="Times New Roman" w:eastAsia="Arial Unicode MS" w:hAnsi="Times New Roman" w:cs="Times New Roman"/>
                <w:b/>
                <w:bCs/>
                <w:color w:val="000000" w:themeColor="text1"/>
                <w:vertAlign w:val="superscript"/>
                <w:lang w:val="ro-RO"/>
              </w:rPr>
              <w:t>45</w:t>
            </w:r>
            <w:r w:rsidR="003500D0" w:rsidRPr="003117B3">
              <w:rPr>
                <w:rFonts w:ascii="Times New Roman" w:eastAsia="Arial Unicode MS" w:hAnsi="Times New Roman" w:cs="Times New Roman"/>
                <w:bCs/>
                <w:color w:val="000000" w:themeColor="text1"/>
                <w:lang w:val="ro-RO"/>
              </w:rPr>
              <w:t>. Următoarele active sunt considerate a fi negrevate de sarcini:</w:t>
            </w:r>
          </w:p>
          <w:p w14:paraId="00409489" w14:textId="2F8F7A60" w:rsidR="003500D0" w:rsidRPr="003117B3" w:rsidRDefault="003500D0" w:rsidP="003500D0">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activele dintr-un portofoliu </w:t>
            </w:r>
            <w:r w:rsidR="00E40F5F" w:rsidRPr="003117B3">
              <w:rPr>
                <w:rFonts w:ascii="Times New Roman" w:eastAsia="Arial Unicode MS" w:hAnsi="Times New Roman" w:cs="Times New Roman"/>
                <w:bCs/>
                <w:color w:val="000000" w:themeColor="text1"/>
                <w:lang w:val="ro-RO"/>
              </w:rPr>
              <w:t xml:space="preserve">(pool) </w:t>
            </w:r>
            <w:r w:rsidRPr="003117B3">
              <w:rPr>
                <w:rFonts w:ascii="Times New Roman" w:eastAsia="Arial Unicode MS" w:hAnsi="Times New Roman" w:cs="Times New Roman"/>
                <w:bCs/>
                <w:color w:val="000000" w:themeColor="text1"/>
                <w:lang w:val="ro-RO"/>
              </w:rPr>
              <w:t xml:space="preserve">care pot fi utilizate imediat ca garanţii reale pentru obţinerea de finanţare suplimentară în cadrul liniilor de credit angajate sau, atunci când portofoliul </w:t>
            </w:r>
            <w:r w:rsidR="00E40F5F" w:rsidRPr="003117B3">
              <w:rPr>
                <w:rFonts w:ascii="Times New Roman" w:eastAsia="Arial Unicode MS" w:hAnsi="Times New Roman" w:cs="Times New Roman"/>
                <w:bCs/>
                <w:color w:val="000000" w:themeColor="text1"/>
                <w:lang w:val="ro-RO"/>
              </w:rPr>
              <w:t xml:space="preserve">(pool-ul) </w:t>
            </w:r>
            <w:r w:rsidRPr="003117B3">
              <w:rPr>
                <w:rFonts w:ascii="Times New Roman" w:eastAsia="Arial Unicode MS" w:hAnsi="Times New Roman" w:cs="Times New Roman"/>
                <w:bCs/>
                <w:color w:val="000000" w:themeColor="text1"/>
                <w:lang w:val="ro-RO"/>
              </w:rPr>
              <w:t xml:space="preserve">este administrat de o bancă centrală, al liniilor de credit neangajate, dar încă nefinanţate, care se află la dispoziţia băncii. Băncile presupun că activele din portofoliu sunt grevate de sarcini în ordinea crescătoare a gradului de lichiditate pe baza clasificării lichidităţii în temeiul capitolului II, titlul II, începând cu </w:t>
            </w:r>
            <w:r w:rsidRPr="003117B3">
              <w:rPr>
                <w:rFonts w:ascii="Times New Roman" w:eastAsia="Arial Unicode MS" w:hAnsi="Times New Roman" w:cs="Times New Roman"/>
                <w:bCs/>
                <w:color w:val="000000" w:themeColor="text1"/>
                <w:lang w:val="ro-RO"/>
              </w:rPr>
              <w:lastRenderedPageBreak/>
              <w:t>activele neeligibile pentru rezerva de lichidităţi;</w:t>
            </w:r>
          </w:p>
          <w:p w14:paraId="16F0DE26" w14:textId="3ED4CEC1" w:rsidR="004F4458" w:rsidRPr="003117B3" w:rsidRDefault="003500D0"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2) activele pe care banca le-a primit ca garanţii reale pentru diminuarea riscului de credit în cadrul unor tranzacţii de creditare garantate, de finanţare garantată sau de schimb de garanţii reale și pe care banca le poate înstrăina.</w:t>
            </w:r>
          </w:p>
        </w:tc>
        <w:tc>
          <w:tcPr>
            <w:tcW w:w="336" w:type="pct"/>
          </w:tcPr>
          <w:p w14:paraId="318706DC" w14:textId="2E4721A7" w:rsidR="004F4458" w:rsidRPr="003117B3" w:rsidRDefault="00F21C4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Parțial compatibil</w:t>
            </w:r>
          </w:p>
        </w:tc>
        <w:tc>
          <w:tcPr>
            <w:tcW w:w="1153" w:type="pct"/>
          </w:tcPr>
          <w:p w14:paraId="241F0276" w14:textId="573042BE" w:rsidR="004F4458" w:rsidRPr="003117B3" w:rsidRDefault="00F21C49" w:rsidP="00F21C49">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Nu au fost transpuse prevederile lit.(c) aferente activelor atașate cu titlu de supragarantare neobligatorie la o emisiune de obligaţiuni garantate, dat fiind că prevedrile referitoare la obligațiunile garantate nu au fost transpuse din legislația europeană în actele normative ale BNM.</w:t>
            </w:r>
          </w:p>
        </w:tc>
        <w:tc>
          <w:tcPr>
            <w:tcW w:w="674" w:type="pct"/>
          </w:tcPr>
          <w:p w14:paraId="54AE28DB"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020EBA77"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A53570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(7) În cazul operaţiunilor non-standard, temporare, efectuate de BCE sau de banca centrală a unui stat membru sau de banca centrală a unei ţări terţe în vederea îndeplinirii mandatului acesteia într-o perioadă de criză financiară la nivelul întregii pieţe sau în circumstanţe macroeconomice excepţionale, următoarele active pot beneficia de un factor redus de finanţare stabilă necesară:</w:t>
            </w:r>
          </w:p>
          <w:p w14:paraId="3A3DD6FF"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prin derogare de la articolul 428ad litera (f) și de la articolul 428ah alineatul (1) litera (a), activele grevate de sarcini pentru operaţiunile menţionate în prezentul paragraf,</w:t>
            </w:r>
          </w:p>
          <w:p w14:paraId="716DC45C"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(b) prin derogare de la articolul 428ad litera (d) punctele (i) și (ii), articolul 428af litera (b) și </w:t>
            </w:r>
            <w:r w:rsidRPr="003117B3">
              <w:rPr>
                <w:rFonts w:ascii="Times New Roman" w:hAnsi="Times New Roman" w:cs="Times New Roman"/>
                <w:color w:val="000000" w:themeColor="text1"/>
                <w:lang w:val="it-IT"/>
              </w:rPr>
              <w:lastRenderedPageBreak/>
              <w:t>articolul 428ag litera (c), sumele rezultate din operaţiunile menţionate în prezentul paragraf.</w:t>
            </w:r>
          </w:p>
          <w:p w14:paraId="1B12E174" w14:textId="13F0890B"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Autorităţile competente stabilesc, cu acordul băncii centrale care este contrapartea la tranzacţie, factorul de finanţare stabilă necesară care trebuie aplicat activelor menţionate la primul paragraf literele (a) și (b). Pentru activele grevate de sarcini, astfel cum sunt menţionate la litera (a) de la primul paragraf, factorul de finanţare stabilă necesară care trebuie aplicat nu este mai mic decât factorul de finanţare stabilă necesară care s-ar aplica în temeiul secţiunii 2 activelor respective dacă ar fi negrevate de sarcini. </w:t>
            </w:r>
          </w:p>
          <w:p w14:paraId="273182C2" w14:textId="7FF4287A"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Atunci când se aplică un factor redus de finanţare stabilă necesară în conformitate cu al doilea paragraf, autorităţile competente monitorizează îndeaproape impactul factorului redus asupra poziţiilor de finanţare stabilă ale instituţiilor și iau măsuri de supraveghere adecvate, atunci când este necesar.</w:t>
            </w:r>
          </w:p>
        </w:tc>
        <w:tc>
          <w:tcPr>
            <w:tcW w:w="1249" w:type="pct"/>
          </w:tcPr>
          <w:p w14:paraId="3A4016ED" w14:textId="0C96F45B" w:rsidR="004F4458" w:rsidRPr="003117B3" w:rsidRDefault="00B40D86"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lastRenderedPageBreak/>
              <w:t>109</w:t>
            </w:r>
            <w:r w:rsidRPr="003117B3">
              <w:rPr>
                <w:rFonts w:ascii="Times New Roman" w:eastAsia="Arial Unicode MS" w:hAnsi="Times New Roman" w:cs="Times New Roman"/>
                <w:b/>
                <w:bCs/>
                <w:color w:val="000000" w:themeColor="text1"/>
                <w:vertAlign w:val="superscript"/>
                <w:lang w:val="ro-RO"/>
              </w:rPr>
              <w:t>46</w:t>
            </w:r>
            <w:r w:rsidR="004F4458" w:rsidRPr="003117B3">
              <w:rPr>
                <w:rFonts w:ascii="Times New Roman" w:eastAsia="Arial Unicode MS" w:hAnsi="Times New Roman" w:cs="Times New Roman"/>
                <w:bCs/>
                <w:color w:val="000000" w:themeColor="text1"/>
                <w:lang w:val="ro-RO"/>
              </w:rPr>
              <w:t>. În cazul operaţiunilor non-standard, temporare, efectuate de BNM, BCE sau de banca unui alt stat în vederea îndeplinirii mandatului acesteia într-o perioadă de criză financiară la nivelul întregii pieţe sau în circumstanţe macroeconomice excepţionale, următoarele active pot beneficia de un factor redus de finanţare stabilă necesară:</w:t>
            </w:r>
          </w:p>
          <w:p w14:paraId="47BC4948" w14:textId="081FDDBC"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prin derogare de la </w:t>
            </w:r>
            <w:r w:rsidR="00016827" w:rsidRPr="003117B3">
              <w:rPr>
                <w:rFonts w:ascii="Times New Roman" w:eastAsia="Arial Unicode MS" w:hAnsi="Times New Roman" w:cs="Times New Roman"/>
                <w:bCs/>
                <w:color w:val="000000" w:themeColor="text1"/>
                <w:lang w:val="ro-RO"/>
              </w:rPr>
              <w:t>pct.</w:t>
            </w:r>
            <w:r w:rsidR="00B40D86" w:rsidRPr="003117B3">
              <w:rPr>
                <w:rFonts w:ascii="Times New Roman" w:eastAsia="Arial Unicode MS" w:hAnsi="Times New Roman" w:cs="Times New Roman"/>
                <w:bCs/>
                <w:color w:val="000000" w:themeColor="text1"/>
                <w:lang w:val="ro-RO"/>
              </w:rPr>
              <w:t xml:space="preserve"> 109</w:t>
            </w:r>
            <w:r w:rsidR="00B40D86" w:rsidRPr="003117B3">
              <w:rPr>
                <w:rFonts w:ascii="Times New Roman" w:eastAsia="Arial Unicode MS" w:hAnsi="Times New Roman" w:cs="Times New Roman"/>
                <w:bCs/>
                <w:color w:val="000000" w:themeColor="text1"/>
                <w:vertAlign w:val="superscript"/>
                <w:lang w:val="ro-RO"/>
              </w:rPr>
              <w:t xml:space="preserve">67 </w:t>
            </w:r>
            <w:r w:rsidR="00016827" w:rsidRPr="003117B3">
              <w:rPr>
                <w:rFonts w:ascii="Times New Roman" w:eastAsia="Arial Unicode MS" w:hAnsi="Times New Roman" w:cs="Times New Roman"/>
                <w:bCs/>
                <w:color w:val="000000" w:themeColor="text1"/>
                <w:lang w:val="ro-RO"/>
              </w:rPr>
              <w:t>subpct.6)</w:t>
            </w:r>
            <w:r w:rsidRPr="003117B3">
              <w:rPr>
                <w:rFonts w:ascii="Times New Roman" w:eastAsia="Arial Unicode MS" w:hAnsi="Times New Roman" w:cs="Times New Roman"/>
                <w:bCs/>
                <w:color w:val="000000" w:themeColor="text1"/>
                <w:lang w:val="ro-RO"/>
              </w:rPr>
              <w:t xml:space="preserve"> și de la </w:t>
            </w:r>
            <w:r w:rsidR="00016827" w:rsidRPr="003117B3">
              <w:rPr>
                <w:rFonts w:ascii="Times New Roman" w:eastAsia="Arial Unicode MS" w:hAnsi="Times New Roman" w:cs="Times New Roman"/>
                <w:bCs/>
                <w:color w:val="000000" w:themeColor="text1"/>
                <w:lang w:val="ro-RO"/>
              </w:rPr>
              <w:t>pct.</w:t>
            </w:r>
            <w:r w:rsidR="00B40D86" w:rsidRPr="003117B3">
              <w:rPr>
                <w:rFonts w:ascii="Times New Roman" w:eastAsia="Arial Unicode MS" w:hAnsi="Times New Roman" w:cs="Times New Roman"/>
                <w:bCs/>
                <w:color w:val="000000" w:themeColor="text1"/>
                <w:lang w:val="ro-RO"/>
              </w:rPr>
              <w:t xml:space="preserve"> 109</w:t>
            </w:r>
            <w:r w:rsidR="00B40D86" w:rsidRPr="003117B3">
              <w:rPr>
                <w:rFonts w:ascii="Times New Roman" w:eastAsia="Arial Unicode MS" w:hAnsi="Times New Roman" w:cs="Times New Roman"/>
                <w:bCs/>
                <w:color w:val="000000" w:themeColor="text1"/>
                <w:vertAlign w:val="superscript"/>
                <w:lang w:val="ro-RO"/>
              </w:rPr>
              <w:t>71</w:t>
            </w:r>
            <w:r w:rsidR="00B40D86" w:rsidRPr="003117B3">
              <w:rPr>
                <w:rFonts w:ascii="Times New Roman" w:eastAsia="Arial Unicode MS" w:hAnsi="Times New Roman" w:cs="Times New Roman"/>
                <w:bCs/>
                <w:color w:val="000000" w:themeColor="text1"/>
                <w:lang w:val="ro-RO"/>
              </w:rPr>
              <w:t xml:space="preserve">  </w:t>
            </w:r>
            <w:r w:rsidR="00016827" w:rsidRPr="003117B3">
              <w:rPr>
                <w:rFonts w:ascii="Times New Roman" w:eastAsia="Arial Unicode MS" w:hAnsi="Times New Roman" w:cs="Times New Roman"/>
                <w:bCs/>
                <w:color w:val="000000" w:themeColor="text1"/>
                <w:lang w:val="ro-RO"/>
              </w:rPr>
              <w:t>subpct.1</w:t>
            </w:r>
            <w:r w:rsidRPr="003117B3">
              <w:rPr>
                <w:rFonts w:ascii="Times New Roman" w:eastAsia="Arial Unicode MS" w:hAnsi="Times New Roman" w:cs="Times New Roman"/>
                <w:bCs/>
                <w:color w:val="000000" w:themeColor="text1"/>
                <w:lang w:val="ro-RO"/>
              </w:rPr>
              <w:t xml:space="preserve">), activele grevate de sarcini pentru operaţiunile menţionate în prezentul </w:t>
            </w:r>
            <w:r w:rsidR="00016827" w:rsidRPr="003117B3">
              <w:rPr>
                <w:rFonts w:ascii="Times New Roman" w:eastAsia="Arial Unicode MS" w:hAnsi="Times New Roman" w:cs="Times New Roman"/>
                <w:bCs/>
                <w:color w:val="000000" w:themeColor="text1"/>
                <w:lang w:val="ro-RO"/>
              </w:rPr>
              <w:t>punct</w:t>
            </w:r>
            <w:r w:rsidRPr="003117B3">
              <w:rPr>
                <w:rFonts w:ascii="Times New Roman" w:eastAsia="Arial Unicode MS" w:hAnsi="Times New Roman" w:cs="Times New Roman"/>
                <w:bCs/>
                <w:color w:val="000000" w:themeColor="text1"/>
                <w:lang w:val="ro-RO"/>
              </w:rPr>
              <w:t>,</w:t>
            </w:r>
          </w:p>
          <w:p w14:paraId="1D541810" w14:textId="1A971FA8"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lastRenderedPageBreak/>
              <w:t xml:space="preserve">2) prin derogare de la </w:t>
            </w:r>
            <w:r w:rsidR="00016827" w:rsidRPr="003117B3">
              <w:rPr>
                <w:rFonts w:ascii="Times New Roman" w:eastAsia="Arial Unicode MS" w:hAnsi="Times New Roman" w:cs="Times New Roman"/>
                <w:bCs/>
                <w:color w:val="000000" w:themeColor="text1"/>
                <w:lang w:val="ro-RO"/>
              </w:rPr>
              <w:t>pct</w:t>
            </w:r>
            <w:r w:rsidR="00BD3111" w:rsidRPr="003117B3">
              <w:rPr>
                <w:rFonts w:ascii="Times New Roman" w:eastAsia="Arial Unicode MS" w:hAnsi="Times New Roman" w:cs="Times New Roman"/>
                <w:bCs/>
                <w:color w:val="000000" w:themeColor="text1"/>
                <w:lang w:val="ro-RO"/>
              </w:rPr>
              <w:t>.</w:t>
            </w:r>
            <w:r w:rsidR="008F4C55" w:rsidRPr="003117B3">
              <w:rPr>
                <w:rFonts w:ascii="Times New Roman" w:eastAsia="Arial Unicode MS" w:hAnsi="Times New Roman" w:cs="Times New Roman"/>
                <w:bCs/>
                <w:color w:val="000000" w:themeColor="text1"/>
                <w:lang w:val="ro-RO"/>
              </w:rPr>
              <w:t xml:space="preserve"> 109</w:t>
            </w:r>
            <w:r w:rsidR="008F4C55" w:rsidRPr="003117B3">
              <w:rPr>
                <w:rFonts w:ascii="Times New Roman" w:eastAsia="Arial Unicode MS" w:hAnsi="Times New Roman" w:cs="Times New Roman"/>
                <w:bCs/>
                <w:color w:val="000000" w:themeColor="text1"/>
                <w:vertAlign w:val="superscript"/>
                <w:lang w:val="ro-RO"/>
              </w:rPr>
              <w:t>67</w:t>
            </w:r>
            <w:r w:rsidR="008F4C55" w:rsidRPr="003117B3">
              <w:rPr>
                <w:rFonts w:ascii="Times New Roman" w:eastAsia="Arial Unicode MS" w:hAnsi="Times New Roman" w:cs="Times New Roman"/>
                <w:bCs/>
                <w:color w:val="000000" w:themeColor="text1"/>
                <w:lang w:val="ro-RO"/>
              </w:rPr>
              <w:t xml:space="preserve"> </w:t>
            </w:r>
            <w:r w:rsidR="00BD3111" w:rsidRPr="003117B3">
              <w:rPr>
                <w:rFonts w:ascii="Times New Roman" w:eastAsia="Arial Unicode MS" w:hAnsi="Times New Roman" w:cs="Times New Roman"/>
                <w:bCs/>
                <w:color w:val="000000" w:themeColor="text1"/>
                <w:lang w:val="ro-RO"/>
              </w:rPr>
              <w:t>subpct.4) lit.a) și b)</w:t>
            </w:r>
            <w:r w:rsidRPr="003117B3">
              <w:rPr>
                <w:rFonts w:ascii="Times New Roman" w:eastAsia="Arial Unicode MS" w:hAnsi="Times New Roman" w:cs="Times New Roman"/>
                <w:bCs/>
                <w:color w:val="000000" w:themeColor="text1"/>
                <w:lang w:val="ro-RO"/>
              </w:rPr>
              <w:t xml:space="preserve">, </w:t>
            </w:r>
            <w:r w:rsidR="00BD3111" w:rsidRPr="003117B3">
              <w:rPr>
                <w:rFonts w:ascii="Times New Roman" w:eastAsia="Arial Unicode MS" w:hAnsi="Times New Roman" w:cs="Times New Roman"/>
                <w:bCs/>
                <w:color w:val="000000" w:themeColor="text1"/>
                <w:lang w:val="ro-RO"/>
              </w:rPr>
              <w:t>pct.</w:t>
            </w:r>
            <w:r w:rsidR="008F4C55" w:rsidRPr="003117B3">
              <w:rPr>
                <w:rFonts w:ascii="Times New Roman" w:eastAsia="Arial Unicode MS" w:hAnsi="Times New Roman" w:cs="Times New Roman"/>
                <w:bCs/>
                <w:color w:val="000000" w:themeColor="text1"/>
                <w:lang w:val="ro-RO"/>
              </w:rPr>
              <w:t xml:space="preserve"> 109</w:t>
            </w:r>
            <w:r w:rsidR="008F4C55" w:rsidRPr="003117B3">
              <w:rPr>
                <w:rFonts w:ascii="Times New Roman" w:eastAsia="Arial Unicode MS" w:hAnsi="Times New Roman" w:cs="Times New Roman"/>
                <w:bCs/>
                <w:color w:val="000000" w:themeColor="text1"/>
                <w:vertAlign w:val="superscript"/>
                <w:lang w:val="ro-RO"/>
              </w:rPr>
              <w:t>69</w:t>
            </w:r>
            <w:r w:rsidR="008F4C55" w:rsidRPr="003117B3">
              <w:rPr>
                <w:rFonts w:ascii="Times New Roman" w:eastAsia="Arial Unicode MS" w:hAnsi="Times New Roman" w:cs="Times New Roman"/>
                <w:bCs/>
                <w:color w:val="000000" w:themeColor="text1"/>
                <w:lang w:val="ro-RO"/>
              </w:rPr>
              <w:t xml:space="preserve"> </w:t>
            </w:r>
            <w:r w:rsidR="008F4C55" w:rsidRPr="003117B3">
              <w:rPr>
                <w:rFonts w:ascii="Times New Roman" w:eastAsia="Arial Unicode MS" w:hAnsi="Times New Roman" w:cs="Times New Roman"/>
                <w:bCs/>
                <w:color w:val="000000" w:themeColor="text1"/>
                <w:vertAlign w:val="superscript"/>
                <w:lang w:val="ro-RO"/>
              </w:rPr>
              <w:t xml:space="preserve"> </w:t>
            </w:r>
            <w:r w:rsidR="00BD3111" w:rsidRPr="003117B3">
              <w:rPr>
                <w:rFonts w:ascii="Times New Roman" w:eastAsia="Arial Unicode MS" w:hAnsi="Times New Roman" w:cs="Times New Roman"/>
                <w:bCs/>
                <w:color w:val="000000" w:themeColor="text1"/>
                <w:lang w:val="ro-RO"/>
              </w:rPr>
              <w:t>subpct.2)</w:t>
            </w:r>
            <w:r w:rsidRPr="003117B3">
              <w:rPr>
                <w:rFonts w:ascii="Times New Roman" w:eastAsia="Arial Unicode MS" w:hAnsi="Times New Roman" w:cs="Times New Roman"/>
                <w:bCs/>
                <w:color w:val="000000" w:themeColor="text1"/>
                <w:lang w:val="ro-RO"/>
              </w:rPr>
              <w:t xml:space="preserve"> și </w:t>
            </w:r>
            <w:r w:rsidR="00BD3111" w:rsidRPr="003117B3">
              <w:rPr>
                <w:rFonts w:ascii="Times New Roman" w:eastAsia="Arial Unicode MS" w:hAnsi="Times New Roman" w:cs="Times New Roman"/>
                <w:bCs/>
                <w:color w:val="000000" w:themeColor="text1"/>
                <w:lang w:val="ro-RO"/>
              </w:rPr>
              <w:t>pct.</w:t>
            </w:r>
            <w:r w:rsidR="008F4C55" w:rsidRPr="003117B3">
              <w:rPr>
                <w:rFonts w:ascii="Times New Roman" w:eastAsia="Arial Unicode MS" w:hAnsi="Times New Roman" w:cs="Times New Roman"/>
                <w:bCs/>
                <w:color w:val="000000" w:themeColor="text1"/>
                <w:lang w:val="ro-RO"/>
              </w:rPr>
              <w:t xml:space="preserve"> 109</w:t>
            </w:r>
            <w:r w:rsidR="008F4C55" w:rsidRPr="003117B3">
              <w:rPr>
                <w:rFonts w:ascii="Times New Roman" w:eastAsia="Arial Unicode MS" w:hAnsi="Times New Roman" w:cs="Times New Roman"/>
                <w:bCs/>
                <w:color w:val="000000" w:themeColor="text1"/>
                <w:vertAlign w:val="superscript"/>
                <w:lang w:val="ro-RO"/>
              </w:rPr>
              <w:t>70</w:t>
            </w:r>
            <w:r w:rsidR="00BD3111" w:rsidRPr="003117B3">
              <w:rPr>
                <w:rFonts w:ascii="Times New Roman" w:eastAsia="Arial Unicode MS" w:hAnsi="Times New Roman" w:cs="Times New Roman"/>
                <w:bCs/>
                <w:color w:val="000000" w:themeColor="text1"/>
                <w:lang w:val="ro-RO"/>
              </w:rPr>
              <w:t>subpct.3</w:t>
            </w:r>
            <w:r w:rsidRPr="003117B3">
              <w:rPr>
                <w:rFonts w:ascii="Times New Roman" w:eastAsia="Arial Unicode MS" w:hAnsi="Times New Roman" w:cs="Times New Roman"/>
                <w:bCs/>
                <w:color w:val="000000" w:themeColor="text1"/>
                <w:lang w:val="ro-RO"/>
              </w:rPr>
              <w:t xml:space="preserve">), sumele rezultate din operaţiunile menţionate în prezentul </w:t>
            </w:r>
            <w:r w:rsidR="00BD3111" w:rsidRPr="003117B3">
              <w:rPr>
                <w:rFonts w:ascii="Times New Roman" w:eastAsia="Arial Unicode MS" w:hAnsi="Times New Roman" w:cs="Times New Roman"/>
                <w:bCs/>
                <w:color w:val="000000" w:themeColor="text1"/>
                <w:lang w:val="ro-RO"/>
              </w:rPr>
              <w:t>punct</w:t>
            </w:r>
            <w:r w:rsidRPr="003117B3">
              <w:rPr>
                <w:rFonts w:ascii="Times New Roman" w:eastAsia="Arial Unicode MS" w:hAnsi="Times New Roman" w:cs="Times New Roman"/>
                <w:bCs/>
                <w:color w:val="000000" w:themeColor="text1"/>
                <w:lang w:val="ro-RO"/>
              </w:rPr>
              <w:t>.</w:t>
            </w:r>
          </w:p>
          <w:p w14:paraId="53174BEE" w14:textId="64520635" w:rsidR="004F4458" w:rsidRPr="003117B3" w:rsidRDefault="008F4C55"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47</w:t>
            </w:r>
            <w:r w:rsidR="004F4458" w:rsidRPr="003117B3">
              <w:rPr>
                <w:rFonts w:ascii="Times New Roman" w:eastAsia="Arial Unicode MS" w:hAnsi="Times New Roman" w:cs="Times New Roman"/>
                <w:bCs/>
                <w:color w:val="000000" w:themeColor="text1"/>
                <w:lang w:val="ro-RO"/>
              </w:rPr>
              <w:t xml:space="preserve">. BNM stabilește factorul de finanţare stabilă necesară care trebuie aplicat activelor menţionate la pct. </w:t>
            </w: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46</w:t>
            </w:r>
            <w:r w:rsidR="004F4458" w:rsidRPr="003117B3">
              <w:rPr>
                <w:rFonts w:ascii="Times New Roman" w:eastAsia="Arial Unicode MS" w:hAnsi="Times New Roman" w:cs="Times New Roman"/>
                <w:bCs/>
                <w:color w:val="000000" w:themeColor="text1"/>
                <w:lang w:val="ro-RO"/>
              </w:rPr>
              <w:t>. Pentru activele grevate de sarcini, astfel cum sunt menţionate la subpct.1) pct.</w:t>
            </w:r>
            <w:r w:rsidRPr="003117B3">
              <w:rPr>
                <w:rFonts w:ascii="Times New Roman" w:eastAsia="Arial Unicode MS" w:hAnsi="Times New Roman" w:cs="Times New Roman"/>
                <w:bCs/>
                <w:color w:val="000000" w:themeColor="text1"/>
                <w:lang w:val="ro-RO"/>
              </w:rPr>
              <w:t xml:space="preserve"> 109</w:t>
            </w:r>
            <w:r w:rsidRPr="003117B3">
              <w:rPr>
                <w:rFonts w:ascii="Times New Roman" w:eastAsia="Arial Unicode MS" w:hAnsi="Times New Roman" w:cs="Times New Roman"/>
                <w:bCs/>
                <w:color w:val="000000" w:themeColor="text1"/>
                <w:vertAlign w:val="superscript"/>
                <w:lang w:val="ro-RO"/>
              </w:rPr>
              <w:t>46</w:t>
            </w:r>
            <w:r w:rsidR="004F4458" w:rsidRPr="003117B3">
              <w:rPr>
                <w:rFonts w:ascii="Times New Roman" w:eastAsia="Arial Unicode MS" w:hAnsi="Times New Roman" w:cs="Times New Roman"/>
                <w:bCs/>
                <w:color w:val="000000" w:themeColor="text1"/>
                <w:lang w:val="ro-RO"/>
              </w:rPr>
              <w:t xml:space="preserve">, factorul de finanţare stabilă necesară care trebuie aplicat nu este mai mic decât factorul de finanţare stabilă necesară care s-ar aplica în temeiul secţiunii 2 din prezentul capitol activelor respective dacă ar fi negrevate de sarcini. </w:t>
            </w:r>
          </w:p>
          <w:p w14:paraId="31721515" w14:textId="050CA6BF" w:rsidR="004F4458" w:rsidRPr="003117B3" w:rsidRDefault="008F4C55"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48</w:t>
            </w:r>
            <w:r w:rsidR="004F4458" w:rsidRPr="003117B3">
              <w:rPr>
                <w:rFonts w:ascii="Times New Roman" w:eastAsia="Arial Unicode MS" w:hAnsi="Times New Roman" w:cs="Times New Roman"/>
                <w:bCs/>
                <w:color w:val="000000" w:themeColor="text1"/>
                <w:lang w:val="ro-RO"/>
              </w:rPr>
              <w:t xml:space="preserve">. Atunci când se aplică un factor redus de finanţare stabilă necesară în conformitate cu pct. </w:t>
            </w: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47</w:t>
            </w:r>
            <w:r w:rsidR="004F4458" w:rsidRPr="003117B3">
              <w:rPr>
                <w:rFonts w:ascii="Times New Roman" w:eastAsia="Arial Unicode MS" w:hAnsi="Times New Roman" w:cs="Times New Roman"/>
                <w:bCs/>
                <w:color w:val="000000" w:themeColor="text1"/>
                <w:lang w:val="ro-RO"/>
              </w:rPr>
              <w:t>, BNM monitorizează îndeaproape impactul factorului redus asupra poziţiilor de finanţare stabilă ale băn</w:t>
            </w:r>
            <w:r w:rsidR="0050295C" w:rsidRPr="003117B3">
              <w:rPr>
                <w:rFonts w:ascii="Times New Roman" w:eastAsia="Arial Unicode MS" w:hAnsi="Times New Roman" w:cs="Times New Roman"/>
                <w:bCs/>
                <w:color w:val="000000" w:themeColor="text1"/>
                <w:lang w:val="ro-RO"/>
              </w:rPr>
              <w:t>cilor și ia</w:t>
            </w:r>
            <w:r w:rsidR="004F4458" w:rsidRPr="003117B3">
              <w:rPr>
                <w:rFonts w:ascii="Times New Roman" w:eastAsia="Arial Unicode MS" w:hAnsi="Times New Roman" w:cs="Times New Roman"/>
                <w:bCs/>
                <w:color w:val="000000" w:themeColor="text1"/>
                <w:lang w:val="ro-RO"/>
              </w:rPr>
              <w:t xml:space="preserve"> măsuri de supraveghere adecvate, atunci când este necesar.</w:t>
            </w:r>
          </w:p>
        </w:tc>
        <w:tc>
          <w:tcPr>
            <w:tcW w:w="336" w:type="pct"/>
          </w:tcPr>
          <w:p w14:paraId="009FA0D9" w14:textId="0934D9B6" w:rsidR="004F4458" w:rsidRPr="003117B3" w:rsidRDefault="00541DD7"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06EA4C9F"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658A348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020AE4A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33D7111" w14:textId="5BEBBCCF"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 xml:space="preserve">(8) Pentru a evita dubla contabilizare, instituţiile exclud din alte părţi ale calculului cuantumului </w:t>
            </w:r>
            <w:r w:rsidRPr="003117B3">
              <w:rPr>
                <w:rFonts w:ascii="Times New Roman" w:hAnsi="Times New Roman" w:cs="Times New Roman"/>
                <w:color w:val="000000" w:themeColor="text1"/>
              </w:rPr>
              <w:lastRenderedPageBreak/>
              <w:t>finanţării stabile obligatorii în conformitate cu prezentul capitol activele care sunt asociate cu garanţiile reale recunoscute drept marjă de variaţie furnizată în conformitate cu articolul 428k alineatul (4) litera (b) și cu articolul 428ah alineatul (2) litera (b), drept marjă iniţială furnizată sau drept contribuţie la fondul de garantare al unei CPC în conformitate cu articolul 428ag literele (a) și (b).</w:t>
            </w:r>
          </w:p>
        </w:tc>
        <w:tc>
          <w:tcPr>
            <w:tcW w:w="1249" w:type="pct"/>
          </w:tcPr>
          <w:p w14:paraId="0727672E" w14:textId="51659EB0" w:rsidR="004F4458" w:rsidRPr="003117B3" w:rsidRDefault="004F4458"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lastRenderedPageBreak/>
              <w:t>109</w:t>
            </w:r>
            <w:r w:rsidRPr="003117B3">
              <w:rPr>
                <w:rFonts w:ascii="Times New Roman" w:eastAsia="Arial Unicode MS" w:hAnsi="Times New Roman" w:cs="Times New Roman"/>
                <w:bCs/>
                <w:color w:val="000000" w:themeColor="text1"/>
                <w:vertAlign w:val="superscript"/>
                <w:lang w:val="ro-RO"/>
              </w:rPr>
              <w:t>49</w:t>
            </w:r>
            <w:r w:rsidRPr="003117B3">
              <w:rPr>
                <w:rFonts w:ascii="Times New Roman" w:eastAsia="Arial Unicode MS" w:hAnsi="Times New Roman" w:cs="Times New Roman"/>
                <w:bCs/>
                <w:color w:val="000000" w:themeColor="text1"/>
                <w:lang w:val="ro-RO"/>
              </w:rPr>
              <w:t xml:space="preserve">. Pentru a evita dubla contabilizare, băncile exclud din alte părţi ale calculului cuantumului </w:t>
            </w:r>
            <w:r w:rsidRPr="003117B3">
              <w:rPr>
                <w:rFonts w:ascii="Times New Roman" w:eastAsia="Arial Unicode MS" w:hAnsi="Times New Roman" w:cs="Times New Roman"/>
                <w:bCs/>
                <w:color w:val="000000" w:themeColor="text1"/>
                <w:lang w:val="ro-RO"/>
              </w:rPr>
              <w:lastRenderedPageBreak/>
              <w:t xml:space="preserve">finanţării stabile necesare în conformitate cu prezentul capitol activele care sunt asociate cu garanţiile reale recunoscute drept marjă de variaţie furnizată în conformitate cu </w:t>
            </w:r>
            <w:r w:rsidR="00BD3111" w:rsidRPr="003117B3">
              <w:rPr>
                <w:rFonts w:ascii="Times New Roman" w:eastAsia="Arial Unicode MS" w:hAnsi="Times New Roman" w:cs="Times New Roman"/>
                <w:bCs/>
                <w:color w:val="000000" w:themeColor="text1"/>
                <w:lang w:val="ro-RO"/>
              </w:rPr>
              <w:t>pct.109</w:t>
            </w:r>
            <w:r w:rsidR="00BD3111" w:rsidRPr="003117B3">
              <w:rPr>
                <w:rFonts w:ascii="Times New Roman" w:eastAsia="Arial Unicode MS" w:hAnsi="Times New Roman" w:cs="Times New Roman"/>
                <w:bCs/>
                <w:color w:val="000000" w:themeColor="text1"/>
                <w:vertAlign w:val="superscript"/>
                <w:lang w:val="ro-RO"/>
              </w:rPr>
              <w:t>33</w:t>
            </w:r>
            <w:r w:rsidR="00BD3111" w:rsidRPr="003117B3">
              <w:rPr>
                <w:rFonts w:ascii="Times New Roman" w:eastAsia="Arial Unicode MS" w:hAnsi="Times New Roman" w:cs="Times New Roman"/>
                <w:bCs/>
                <w:color w:val="000000" w:themeColor="text1"/>
                <w:lang w:val="ro-RO"/>
              </w:rPr>
              <w:t xml:space="preserve"> subpct.2</w:t>
            </w:r>
            <w:r w:rsidRPr="003117B3">
              <w:rPr>
                <w:rFonts w:ascii="Times New Roman" w:eastAsia="Arial Unicode MS" w:hAnsi="Times New Roman" w:cs="Times New Roman"/>
                <w:bCs/>
                <w:color w:val="000000" w:themeColor="text1"/>
                <w:lang w:val="ro-RO"/>
              </w:rPr>
              <w:t xml:space="preserve">) și cu </w:t>
            </w:r>
            <w:r w:rsidR="00BD3111" w:rsidRPr="003117B3">
              <w:rPr>
                <w:rFonts w:ascii="Times New Roman" w:eastAsia="Arial Unicode MS" w:hAnsi="Times New Roman" w:cs="Times New Roman"/>
                <w:bCs/>
                <w:color w:val="000000" w:themeColor="text1"/>
                <w:lang w:val="ro-RO"/>
              </w:rPr>
              <w:t>pct.109</w:t>
            </w:r>
            <w:r w:rsidR="00BD3111" w:rsidRPr="003117B3">
              <w:rPr>
                <w:rFonts w:ascii="Times New Roman" w:eastAsia="Arial Unicode MS" w:hAnsi="Times New Roman" w:cs="Times New Roman"/>
                <w:bCs/>
                <w:color w:val="000000" w:themeColor="text1"/>
                <w:vertAlign w:val="superscript"/>
                <w:lang w:val="ro-RO"/>
              </w:rPr>
              <w:t>73</w:t>
            </w:r>
            <w:r w:rsidR="00BD3111" w:rsidRPr="003117B3">
              <w:rPr>
                <w:rFonts w:ascii="Times New Roman" w:eastAsia="Arial Unicode MS" w:hAnsi="Times New Roman" w:cs="Times New Roman"/>
                <w:bCs/>
                <w:color w:val="000000" w:themeColor="text1"/>
                <w:lang w:val="ro-RO"/>
              </w:rPr>
              <w:t xml:space="preserve"> subpct.2</w:t>
            </w:r>
            <w:r w:rsidRPr="003117B3">
              <w:rPr>
                <w:rFonts w:ascii="Times New Roman" w:eastAsia="Arial Unicode MS" w:hAnsi="Times New Roman" w:cs="Times New Roman"/>
                <w:bCs/>
                <w:color w:val="000000" w:themeColor="text1"/>
                <w:lang w:val="ro-RO"/>
              </w:rPr>
              <w:t xml:space="preserve">), drept marjă iniţială furnizată sau drept contribuţie la fondul de garantare al unei CPC în conformitate cu </w:t>
            </w:r>
            <w:r w:rsidR="00BD3111" w:rsidRPr="003117B3">
              <w:rPr>
                <w:rFonts w:ascii="Times New Roman" w:eastAsia="Arial Unicode MS" w:hAnsi="Times New Roman" w:cs="Times New Roman"/>
                <w:bCs/>
                <w:color w:val="000000" w:themeColor="text1"/>
                <w:lang w:val="ro-RO"/>
              </w:rPr>
              <w:t>pct.109</w:t>
            </w:r>
            <w:r w:rsidR="00BD3111" w:rsidRPr="003117B3">
              <w:rPr>
                <w:rFonts w:ascii="Times New Roman" w:eastAsia="Arial Unicode MS" w:hAnsi="Times New Roman" w:cs="Times New Roman"/>
                <w:bCs/>
                <w:color w:val="000000" w:themeColor="text1"/>
                <w:vertAlign w:val="superscript"/>
                <w:lang w:val="ro-RO"/>
              </w:rPr>
              <w:t>70</w:t>
            </w:r>
            <w:r w:rsidR="00BD3111" w:rsidRPr="003117B3">
              <w:rPr>
                <w:rFonts w:ascii="Times New Roman" w:eastAsia="Arial Unicode MS" w:hAnsi="Times New Roman" w:cs="Times New Roman"/>
                <w:bCs/>
                <w:color w:val="000000" w:themeColor="text1"/>
                <w:lang w:val="ro-RO"/>
              </w:rPr>
              <w:t xml:space="preserve"> subpct.1</w:t>
            </w:r>
            <w:r w:rsidRPr="003117B3">
              <w:rPr>
                <w:rFonts w:ascii="Times New Roman" w:eastAsia="Arial Unicode MS" w:hAnsi="Times New Roman" w:cs="Times New Roman"/>
                <w:bCs/>
                <w:color w:val="000000" w:themeColor="text1"/>
                <w:lang w:val="ro-RO"/>
              </w:rPr>
              <w:t>)</w:t>
            </w:r>
            <w:r w:rsidR="00BD3111" w:rsidRPr="003117B3">
              <w:rPr>
                <w:rFonts w:ascii="Times New Roman" w:eastAsia="Arial Unicode MS" w:hAnsi="Times New Roman" w:cs="Times New Roman"/>
                <w:bCs/>
                <w:color w:val="000000" w:themeColor="text1"/>
                <w:lang w:val="ro-RO"/>
              </w:rPr>
              <w:t xml:space="preserve"> și 2)</w:t>
            </w:r>
            <w:r w:rsidRPr="003117B3">
              <w:rPr>
                <w:rFonts w:ascii="Times New Roman" w:eastAsia="Arial Unicode MS" w:hAnsi="Times New Roman" w:cs="Times New Roman"/>
                <w:bCs/>
                <w:color w:val="000000" w:themeColor="text1"/>
                <w:lang w:val="ro-RO"/>
              </w:rPr>
              <w:t>.</w:t>
            </w:r>
          </w:p>
        </w:tc>
        <w:tc>
          <w:tcPr>
            <w:tcW w:w="336" w:type="pct"/>
          </w:tcPr>
          <w:p w14:paraId="66FE410B" w14:textId="2CE2A1A2" w:rsidR="004F4458" w:rsidRPr="003117B3" w:rsidRDefault="006D6341"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w:t>
            </w:r>
            <w:r w:rsidR="00541DD7" w:rsidRPr="003117B3">
              <w:rPr>
                <w:rFonts w:ascii="Times New Roman" w:hAnsi="Times New Roman" w:cs="Times New Roman"/>
                <w:b/>
                <w:color w:val="000000" w:themeColor="text1"/>
                <w:lang w:val="ro-MD"/>
              </w:rPr>
              <w:t>ompatibil</w:t>
            </w:r>
          </w:p>
          <w:p w14:paraId="0DAE0690" w14:textId="688F5CFF" w:rsidR="006D6341" w:rsidRPr="003117B3" w:rsidRDefault="006D6341" w:rsidP="004F4458">
            <w:pPr>
              <w:spacing w:line="276" w:lineRule="auto"/>
              <w:jc w:val="both"/>
              <w:rPr>
                <w:rFonts w:ascii="Times New Roman" w:hAnsi="Times New Roman" w:cs="Times New Roman"/>
                <w:b/>
                <w:color w:val="000000" w:themeColor="text1"/>
                <w:lang w:val="ro-MD"/>
              </w:rPr>
            </w:pPr>
          </w:p>
        </w:tc>
        <w:tc>
          <w:tcPr>
            <w:tcW w:w="1153" w:type="pct"/>
          </w:tcPr>
          <w:p w14:paraId="683E744A" w14:textId="5BC0E0F8" w:rsidR="004F4458" w:rsidRPr="003117B3" w:rsidRDefault="004F4458" w:rsidP="00F760A6">
            <w:pPr>
              <w:spacing w:line="276" w:lineRule="auto"/>
              <w:rPr>
                <w:rFonts w:ascii="Times New Roman" w:hAnsi="Times New Roman" w:cs="Times New Roman"/>
                <w:color w:val="000000" w:themeColor="text1"/>
                <w:lang w:val="ro-MD"/>
              </w:rPr>
            </w:pPr>
          </w:p>
        </w:tc>
        <w:tc>
          <w:tcPr>
            <w:tcW w:w="674" w:type="pct"/>
          </w:tcPr>
          <w:p w14:paraId="3F001AA4"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3FEF088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9744A1B" w14:textId="698F62D8"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(9) Instituţiile includ în calculul cuantumului finanţării stabile obligatorii instrumentele financiare, valutele și mărfurile pentru care a fost executat un ordin de cumpărare. Instituţiile exclud din calculul cuantumului finanţării stabile obligatorii instrumentele financiare, valutele și mărfurile pentru care a fost executat un ordin de vânzare, cu condiţia ca astfel de tranzacţii să nu fie reflectate drept instrumente derivate sau tranzacţii de finanţare garantată în bilanţul instituţiilor și ca tranzacţiile respective să fie reflectate în bilanţul instituţiilor atunci când sunt decontate.</w:t>
            </w:r>
          </w:p>
        </w:tc>
        <w:tc>
          <w:tcPr>
            <w:tcW w:w="1249" w:type="pct"/>
          </w:tcPr>
          <w:p w14:paraId="5D4BE4F1" w14:textId="4285B3B5" w:rsidR="004F4458" w:rsidRPr="003117B3" w:rsidRDefault="006D6341"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50</w:t>
            </w:r>
            <w:r w:rsidR="004F4458" w:rsidRPr="003117B3">
              <w:rPr>
                <w:rFonts w:ascii="Times New Roman" w:eastAsia="Arial Unicode MS" w:hAnsi="Times New Roman" w:cs="Times New Roman"/>
                <w:bCs/>
                <w:color w:val="000000" w:themeColor="text1"/>
                <w:lang w:val="ro-RO"/>
              </w:rPr>
              <w:t>. Băncile includ în calculul cuantumului finanţării stabile necesare instrumentele financiare, valutele și mărfurile pentru care a fost executat un ordin de cumpărare. Băncile exclud din calculul cuantumului finanţării stabile necesare instrumentele financiare, valutele și mărfurile pentru care a fost executat un ordin de vânzare, cu condiţia ca astfel de tranzacţii să nu fie reflectate drept instrumente derivate sau tranzacţii de finanţare garantată în bilanţul băncilor și ca tranzacţiile respective să fie reflectate în bilanţul băncilor atunci când sunt decontate.</w:t>
            </w:r>
          </w:p>
        </w:tc>
        <w:tc>
          <w:tcPr>
            <w:tcW w:w="336" w:type="pct"/>
          </w:tcPr>
          <w:p w14:paraId="439AEA69" w14:textId="3322A9A3" w:rsidR="004F4458" w:rsidRPr="003117B3" w:rsidRDefault="00541DD7"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291F9776"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3C025120"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7507B4D6"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6320AD4"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(10) Autorităţile competente pot stabili factorii de finanţare stabilă necesară care trebuie aplicaţi expunerilor extrabilanţiere care nu sunt menţionate în prezentul capitol, pentru a se asigura că instituţiile deţin un cuantum adecvat de finanţare stabilă disponibilă pentru partea din aceste expuneri care se preconizează că va avea nevoie de finanţare în orizontul de timp de un an al indicatorului de finanţare stabilă netă. Pentru a stabili acești factori, autorităţile competente iau în considerare, în special, prejudiciile semnificative care ar putea fi aduse reputaţiei instituţiei dacă nu s-ar furniza finanţarea respectivă.</w:t>
            </w:r>
          </w:p>
          <w:p w14:paraId="32EB354B" w14:textId="58D65263"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Autorităţile competente informează ABE, cel puţin o dată pe an, cu privire la tipurile de expuneri extrabilanţiere pentru care au stabilit factorii de finanţare stabilă necesară. Acestea includ în respectivul raport o explicaţie cu privire la metodologia aplicată pentru a stabili factorii în cauză.</w:t>
            </w:r>
          </w:p>
        </w:tc>
        <w:tc>
          <w:tcPr>
            <w:tcW w:w="1249" w:type="pct"/>
          </w:tcPr>
          <w:p w14:paraId="04684E59" w14:textId="1E4C0491" w:rsidR="004F4458" w:rsidRPr="003117B3" w:rsidRDefault="006D6341"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51</w:t>
            </w:r>
            <w:r w:rsidR="004F4458" w:rsidRPr="003117B3">
              <w:rPr>
                <w:rFonts w:ascii="Times New Roman" w:eastAsia="Arial Unicode MS" w:hAnsi="Times New Roman" w:cs="Times New Roman"/>
                <w:bCs/>
                <w:color w:val="000000" w:themeColor="text1"/>
                <w:lang w:val="ro-RO"/>
              </w:rPr>
              <w:t>. BNM poate stabili factorii de finanţare stabilă necesară care trebuie aplicaţi expunerilor extrabilanţiere care nu sunt menţionate în prezentul capitol, pentru a se asigura că băncile deţin un cuantum adecvat de finanţare stabilă disponibilă pentru partea din aceste expuneri care se preconizează că va avea nevoie de finanţare în orizontul de timp de un an al indicatorului de finanţare stabilă netă. Pentru a stabili acești factori, BNM ia în considerare, în special, prejudiciile semnificative care ar putea fi aduse reputaţiei băncii dacă nu s-ar furniza finanţarea respectivă.</w:t>
            </w:r>
          </w:p>
        </w:tc>
        <w:tc>
          <w:tcPr>
            <w:tcW w:w="336" w:type="pct"/>
          </w:tcPr>
          <w:p w14:paraId="3092667A" w14:textId="00AEDC90" w:rsidR="004F4458" w:rsidRPr="003117B3" w:rsidRDefault="00541DD7"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7B722E5C"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666969AB"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3C2B928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F98BF3F"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428q</w:t>
            </w:r>
          </w:p>
          <w:p w14:paraId="21EDE1A8"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Scadenţa reziduală a unui activ</w:t>
            </w:r>
          </w:p>
          <w:p w14:paraId="785F8EF6" w14:textId="55AC0E74"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(1) Cu excepţia cazului în care se prevede altfel în prezentul capitol, instituţiile ţin seama de scadenţa contractuală reziduală a activelor și a tranzacţiilor </w:t>
            </w:r>
            <w:r w:rsidRPr="003117B3">
              <w:rPr>
                <w:rFonts w:ascii="Times New Roman" w:hAnsi="Times New Roman" w:cs="Times New Roman"/>
                <w:color w:val="000000" w:themeColor="text1"/>
                <w:lang w:val="it-IT"/>
              </w:rPr>
              <w:lastRenderedPageBreak/>
              <w:t>lor extrabilanţiere atunci când stabilesc factorii de finanţare stabilă necesară care trebuie aplicaţi activelor și tranzacţiilor lor extrabilanţiere în temeiul secţiunii 2.</w:t>
            </w:r>
          </w:p>
        </w:tc>
        <w:tc>
          <w:tcPr>
            <w:tcW w:w="1249" w:type="pct"/>
          </w:tcPr>
          <w:p w14:paraId="77F3AA8F" w14:textId="3E4AED38"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lastRenderedPageBreak/>
              <w:t xml:space="preserve">Subsecțiunea 2. Scadența reziduală a unui activ </w:t>
            </w:r>
          </w:p>
          <w:p w14:paraId="04FC723A" w14:textId="08610030" w:rsidR="004F4458" w:rsidRPr="003117B3" w:rsidRDefault="006D6341" w:rsidP="003117B3">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52</w:t>
            </w:r>
            <w:r w:rsidR="004F4458" w:rsidRPr="003117B3">
              <w:rPr>
                <w:rFonts w:ascii="Times New Roman" w:eastAsia="Arial Unicode MS" w:hAnsi="Times New Roman" w:cs="Times New Roman"/>
                <w:bCs/>
                <w:color w:val="000000" w:themeColor="text1"/>
                <w:lang w:val="ro-RO"/>
              </w:rPr>
              <w:t xml:space="preserve">. Cu excepţia cazului în care se prevede altfel în prezentul capitol, băncile ţin seama de scadenţa contractuală reziduală a activelor și a </w:t>
            </w:r>
            <w:r w:rsidR="004F4458" w:rsidRPr="003117B3">
              <w:rPr>
                <w:rFonts w:ascii="Times New Roman" w:eastAsia="Arial Unicode MS" w:hAnsi="Times New Roman" w:cs="Times New Roman"/>
                <w:bCs/>
                <w:color w:val="000000" w:themeColor="text1"/>
                <w:lang w:val="ro-RO"/>
              </w:rPr>
              <w:lastRenderedPageBreak/>
              <w:t>tranzacţiilor lor extrabilanţiere atunci când stabilesc factorii de finanţare stabilă necesară care trebuie aplicaţi activelor și tranzacţiilor lor extrabilanţiere în temeiul secţiunii 2 din prezentul capitol.</w:t>
            </w:r>
          </w:p>
        </w:tc>
        <w:tc>
          <w:tcPr>
            <w:tcW w:w="336" w:type="pct"/>
          </w:tcPr>
          <w:p w14:paraId="63B6BC1D" w14:textId="3FF170F1" w:rsidR="004F4458" w:rsidRPr="003117B3" w:rsidRDefault="0088066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745B8258"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75A453B1"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03F796F"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D06D845" w14:textId="5DF68729"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(2) Activele care au fost separate în conformitate cu articolul 11 alineatul (3) din Regulamentul (UE) nr. 648/2012 sunt tratate de instituţii în conformitate cu expunerile-suport ale acestora. Instituţiile aplică, totuși, acestor active factori mai mari de finanţare stabilă necesară, în funcţie de perioada de grevare cu sarcini care urmează să fie stabilită de autorităţile competente, care analizează dacă instituţia poate să cedeze sau să facă schimb de astfel de active în mod liber și durata datoriilor către clienţii instituţiilor la care se referă această cerinţă de separare.</w:t>
            </w:r>
          </w:p>
        </w:tc>
        <w:tc>
          <w:tcPr>
            <w:tcW w:w="1249" w:type="pct"/>
          </w:tcPr>
          <w:p w14:paraId="5AA37AAC" w14:textId="6557F209" w:rsidR="004F4458" w:rsidRPr="003117B3" w:rsidRDefault="006D6341"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53</w:t>
            </w:r>
            <w:r w:rsidR="004F4458" w:rsidRPr="003117B3">
              <w:rPr>
                <w:rFonts w:ascii="Times New Roman" w:eastAsia="Arial Unicode MS" w:hAnsi="Times New Roman" w:cs="Times New Roman"/>
                <w:bCs/>
                <w:color w:val="000000" w:themeColor="text1"/>
                <w:lang w:val="ro-RO"/>
              </w:rPr>
              <w:t>. Activele care reprezintă instrumente financiare  derivate extrabursiere sunt tratate de bănci în conformitate cu expunerile-suport ale acestora. Băncile aplică, totuși, acestor active factori mai mari de finanţare stabilă necesară, în funcţie de perioada de grevare cu sarcini care urmează să fie stabilită de BNM, care analizează dacă banca poate să cedeze sau să facă schimb de astfel de active în mod liber și durata datoriilor către clienţii băncilor la care se referă această cerinţă de separare.</w:t>
            </w:r>
          </w:p>
        </w:tc>
        <w:tc>
          <w:tcPr>
            <w:tcW w:w="336" w:type="pct"/>
          </w:tcPr>
          <w:p w14:paraId="4CA60DBF" w14:textId="3C50B211" w:rsidR="004F4458" w:rsidRPr="003117B3" w:rsidRDefault="0088066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196A3C7E"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1B9F7B07"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7F036E8E"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DA58D11" w14:textId="2194EC40"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 xml:space="preserve">(3) Atunci când calculează scadenţa reziduală a unui activ, instituţiile iau în considerare opţiunile, plecând de la ipoteza că emitentul sau contrapartea va exercita orice opţiune de a prelungi scadenţa unui activ. Pentru opţiunile care pot fi exercitate la discreţia instituţiei, instituţia și autorităţile competente iau în considerare factorii legaţi de </w:t>
            </w:r>
            <w:r w:rsidRPr="003117B3">
              <w:rPr>
                <w:rFonts w:ascii="Times New Roman" w:hAnsi="Times New Roman" w:cs="Times New Roman"/>
                <w:color w:val="000000" w:themeColor="text1"/>
              </w:rPr>
              <w:lastRenderedPageBreak/>
              <w:t>reputaţie care pot limita capacitatea instituţiei de a nu exercita opţiunea, în special așteptările pieţei și ale clienţilor ca instituţia să prelungească scadenţa anumitor active la data scadenţei.</w:t>
            </w:r>
          </w:p>
        </w:tc>
        <w:tc>
          <w:tcPr>
            <w:tcW w:w="1249" w:type="pct"/>
          </w:tcPr>
          <w:p w14:paraId="5321B0EC" w14:textId="79ED286B" w:rsidR="004F4458" w:rsidRPr="003117B3" w:rsidRDefault="006D6341"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lastRenderedPageBreak/>
              <w:t>109</w:t>
            </w:r>
            <w:r w:rsidRPr="003117B3">
              <w:rPr>
                <w:rFonts w:ascii="Times New Roman" w:eastAsia="Arial Unicode MS" w:hAnsi="Times New Roman" w:cs="Times New Roman"/>
                <w:b/>
                <w:bCs/>
                <w:color w:val="000000" w:themeColor="text1"/>
                <w:vertAlign w:val="superscript"/>
                <w:lang w:val="ro-RO"/>
              </w:rPr>
              <w:t>54</w:t>
            </w:r>
            <w:r w:rsidR="004F4458" w:rsidRPr="003117B3">
              <w:rPr>
                <w:rFonts w:ascii="Times New Roman" w:eastAsia="Arial Unicode MS" w:hAnsi="Times New Roman" w:cs="Times New Roman"/>
                <w:bCs/>
                <w:color w:val="000000" w:themeColor="text1"/>
                <w:lang w:val="ro-RO"/>
              </w:rPr>
              <w:t xml:space="preserve">. Atunci când calculează scadenţa reziduală a unui activ, băncile iau în considerare opţiunile, plecând de la ipoteza că emitentul sau contrapartea va exercita orice opţiune de a prelungi scadenţa unui activ. Pentru opţiunile care pot fi exercitate la discreţia băncii, banca și BNM iau în considerare </w:t>
            </w:r>
            <w:r w:rsidR="004F4458" w:rsidRPr="003117B3">
              <w:rPr>
                <w:rFonts w:ascii="Times New Roman" w:eastAsia="Arial Unicode MS" w:hAnsi="Times New Roman" w:cs="Times New Roman"/>
                <w:bCs/>
                <w:color w:val="000000" w:themeColor="text1"/>
                <w:lang w:val="ro-RO"/>
              </w:rPr>
              <w:lastRenderedPageBreak/>
              <w:t>factorii legaţi de reputaţie care pot limita capacitatea băncii de a nu exercita opţiunea, în special așteptările pieţei și ale clienţilor ca banca să prelungească scadenţa anumitor active la data scadenţei.</w:t>
            </w:r>
          </w:p>
        </w:tc>
        <w:tc>
          <w:tcPr>
            <w:tcW w:w="336" w:type="pct"/>
          </w:tcPr>
          <w:p w14:paraId="4E8D2F5E" w14:textId="59BD4F62" w:rsidR="004F4458" w:rsidRPr="003117B3" w:rsidRDefault="0088066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195EF6A1"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6B282AEB"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2B19D3FF"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03F8C20" w14:textId="5B2B2770"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(4) Pentru a determina factorii de finanţare stabilă necesară care trebuie aplicaţi în conformitate cu secţiunea 2, pentru amortizarea împrumuturilor cu o scadenţă contractuală reziduală de cel puţin un an, orice parte care ajunge la scadenţă în mai puţin de șase luni și orice parte care are o scadenţă între șase luni și mai puţin de un an este tratată ca având o scadenţă reziduală de mai puţin de șase luni, respectiv o scadenţă reziduală cuprinsă între șase luni și mai puţin de un an.</w:t>
            </w:r>
          </w:p>
        </w:tc>
        <w:tc>
          <w:tcPr>
            <w:tcW w:w="1249" w:type="pct"/>
          </w:tcPr>
          <w:p w14:paraId="20EF479F" w14:textId="1A349951" w:rsidR="004F4458" w:rsidRPr="003117B3" w:rsidRDefault="006D6341"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55</w:t>
            </w:r>
            <w:r w:rsidR="004F4458" w:rsidRPr="003117B3">
              <w:rPr>
                <w:rFonts w:ascii="Times New Roman" w:eastAsia="Arial Unicode MS" w:hAnsi="Times New Roman" w:cs="Times New Roman"/>
                <w:bCs/>
                <w:color w:val="000000" w:themeColor="text1"/>
                <w:lang w:val="ro-RO"/>
              </w:rPr>
              <w:t>. Pentru a determina factorii de finanţare stabilă necesară care trebuie aplicaţi în conformitate cu secţiunea 2 din prezentul capitol, pentru amortizarea împrumuturilor cu o scadenţă contractuală reziduală de cel puţin un an, orice parte care ajunge la scadenţă în mai puţin de șase luni și orice parte care are o scadenţă între șase luni și mai puţin de un an este tratată ca având o scadenţă reziduală de mai puţin de șase luni, respectiv o scadenţă reziduală cuprinsă între șase luni și mai puţin de un an.</w:t>
            </w:r>
          </w:p>
        </w:tc>
        <w:tc>
          <w:tcPr>
            <w:tcW w:w="336" w:type="pct"/>
          </w:tcPr>
          <w:p w14:paraId="169B67BF" w14:textId="02BDFC62" w:rsidR="004F4458" w:rsidRPr="003117B3" w:rsidRDefault="0088066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62E7C91A"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711AC58E"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43090123"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2841D07"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S e c ţ i u n e a 2</w:t>
            </w:r>
          </w:p>
          <w:p w14:paraId="215A4CC4" w14:textId="7F255108"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 xml:space="preserve">F a c t o r i i </w:t>
            </w:r>
            <w:r w:rsidR="003B2229" w:rsidRPr="003117B3">
              <w:rPr>
                <w:rFonts w:ascii="Times New Roman" w:hAnsi="Times New Roman" w:cs="Times New Roman"/>
                <w:b/>
                <w:color w:val="000000" w:themeColor="text1"/>
                <w:lang w:val="it-IT"/>
              </w:rPr>
              <w:t xml:space="preserve"> </w:t>
            </w:r>
            <w:r w:rsidRPr="003117B3">
              <w:rPr>
                <w:rFonts w:ascii="Times New Roman" w:hAnsi="Times New Roman" w:cs="Times New Roman"/>
                <w:b/>
                <w:color w:val="000000" w:themeColor="text1"/>
                <w:lang w:val="it-IT"/>
              </w:rPr>
              <w:t>d e</w:t>
            </w:r>
            <w:r w:rsidR="003B2229" w:rsidRPr="003117B3">
              <w:rPr>
                <w:rFonts w:ascii="Times New Roman" w:hAnsi="Times New Roman" w:cs="Times New Roman"/>
                <w:b/>
                <w:color w:val="000000" w:themeColor="text1"/>
                <w:lang w:val="it-IT"/>
              </w:rPr>
              <w:t xml:space="preserve"> </w:t>
            </w:r>
            <w:r w:rsidRPr="003117B3">
              <w:rPr>
                <w:rFonts w:ascii="Times New Roman" w:hAnsi="Times New Roman" w:cs="Times New Roman"/>
                <w:b/>
                <w:color w:val="000000" w:themeColor="text1"/>
                <w:lang w:val="it-IT"/>
              </w:rPr>
              <w:t xml:space="preserve"> f i n a n ţ a r e</w:t>
            </w:r>
            <w:r w:rsidR="003B2229" w:rsidRPr="003117B3">
              <w:rPr>
                <w:rFonts w:ascii="Times New Roman" w:hAnsi="Times New Roman" w:cs="Times New Roman"/>
                <w:b/>
                <w:color w:val="000000" w:themeColor="text1"/>
                <w:lang w:val="it-IT"/>
              </w:rPr>
              <w:t xml:space="preserve"> </w:t>
            </w:r>
            <w:r w:rsidRPr="003117B3">
              <w:rPr>
                <w:rFonts w:ascii="Times New Roman" w:hAnsi="Times New Roman" w:cs="Times New Roman"/>
                <w:b/>
                <w:color w:val="000000" w:themeColor="text1"/>
                <w:lang w:val="it-IT"/>
              </w:rPr>
              <w:t xml:space="preserve"> s t a b i l ă</w:t>
            </w:r>
            <w:r w:rsidR="003B2229" w:rsidRPr="003117B3">
              <w:rPr>
                <w:rFonts w:ascii="Times New Roman" w:hAnsi="Times New Roman" w:cs="Times New Roman"/>
                <w:b/>
                <w:color w:val="000000" w:themeColor="text1"/>
                <w:lang w:val="it-IT"/>
              </w:rPr>
              <w:t xml:space="preserve"> </w:t>
            </w:r>
            <w:r w:rsidRPr="003117B3">
              <w:rPr>
                <w:rFonts w:ascii="Times New Roman" w:hAnsi="Times New Roman" w:cs="Times New Roman"/>
                <w:b/>
                <w:color w:val="000000" w:themeColor="text1"/>
                <w:lang w:val="it-IT"/>
              </w:rPr>
              <w:t xml:space="preserve"> n e c e s a r ă</w:t>
            </w:r>
          </w:p>
          <w:p w14:paraId="203FD007"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428r</w:t>
            </w:r>
          </w:p>
          <w:p w14:paraId="4B1C5856"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0 %</w:t>
            </w:r>
          </w:p>
          <w:p w14:paraId="1975B32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(1) Următoarelor active li se aplică un factor de finanţare stabilă necesară de 0 %:</w:t>
            </w:r>
          </w:p>
          <w:p w14:paraId="5365FBAA"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(a) activele negrevate de sarcini care sunt eligibile ca active lichide cu un nivel ridicat de calitate de nivel 1 în temeiul actului delegat menţionat la articolul 460 alineatul (1), cu excepţia obligaţiunilor garantate cu un nivel extrem de ridicat de calitate menţionate în respectivul act delegat, indiferent de conformitatea acestora cu cerinţele operaţionale prevăzute în respectivul act delegat;</w:t>
            </w:r>
          </w:p>
          <w:p w14:paraId="0A747A35"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acţiunile sau unităţile la OPC-uri negrevate de sarcini care sunt eligibile pentru o ajustare de 0 % pentru calculul indicatorului de acoperire a necesarului de lichiditate în temeiul actului delegat menţionat la articolul 460 alineatul (1), indiferent de conformitatea acestora cu cerinţele operaţionale și cu cerinţele privind compoziţia rezervei de lichidităţi prevăzute în respectivul act delegat;</w:t>
            </w:r>
          </w:p>
          <w:p w14:paraId="318107B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toate rezervele instituţiilor, deţinute la BCE sau la banca centrală a unui stat membru sau la banca centrală a unei ţări terţe, inclusiv rezervele obligatorii și rezervele excedentare;</w:t>
            </w:r>
          </w:p>
          <w:p w14:paraId="3E12B84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 toate creanţele faţă de BCE, de banca centrală a unui stat membru sau de banca centrală a unei ţări terţe care au o scadenţă reziduală de mai puţin de șase luni;</w:t>
            </w:r>
          </w:p>
          <w:p w14:paraId="0B61F335"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(e) sumele de primit la data tranzacţionării care provin din vânzarea de instrumente financiare, valute sau mărfuri care se preconizează că vor fi decontate în ciclul standard sau perioada standard de decontare care este tipică pentru cursul de schimb respectiv sau pentru tipul de tranzacţie în cauză sau în cazul cărora decontarea nu a fost executată, dar se preconizează totuși că va fi executată;</w:t>
            </w:r>
          </w:p>
          <w:p w14:paraId="7B1E1188"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(f) activele care sunt clasificate ca fiind interdependente de pasive în conformitate cu articolul 428f;</w:t>
            </w:r>
          </w:p>
          <w:p w14:paraId="4B9385C4"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(g) sumele datorate din operaţiuni de finanţare prin titluri de valoare cu clienţi financiari, în cazul în care aceste operaţiuni au o scadenţă reziduală mai mică de șase luni, în cazul în care sumele datorate respective sunt garantate cu active care se califică drept active de nivel 1 în temeiul actului delegat menţionat la articolul 460 alineatul (1), fiind excluse obligaţiunile garantate cu un nivel extrem de ridicat de calitate menţionate în respectivul act delegat, și în cazul în care instituţia ar fi abilitată din punct de vedere juridic și ar fi în măsură din punct de vedere operaţional să reutilizeze activele respective pentru toată durata tranzacţiei.</w:t>
            </w:r>
          </w:p>
          <w:p w14:paraId="71427F3C" w14:textId="4AF9A193"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Instituţiile iau în considerare sumele datorate menţionate la litera (g) de la primul paragraf al prezentului alineat pe o bază netă în cazul în care se aplică articolul 428e.</w:t>
            </w:r>
          </w:p>
        </w:tc>
        <w:tc>
          <w:tcPr>
            <w:tcW w:w="1249" w:type="pct"/>
          </w:tcPr>
          <w:p w14:paraId="293B4FB0" w14:textId="77777777" w:rsidR="004F4458" w:rsidRPr="003117B3" w:rsidRDefault="004F4458" w:rsidP="004F4458">
            <w:pPr>
              <w:tabs>
                <w:tab w:val="left" w:pos="265"/>
              </w:tabs>
              <w:spacing w:after="120" w:line="240" w:lineRule="auto"/>
              <w:rPr>
                <w:rFonts w:ascii="Times New Roman" w:eastAsia="Arial Unicode MS" w:hAnsi="Times New Roman" w:cs="Times New Roman"/>
                <w:b/>
                <w:bCs/>
                <w:color w:val="000000" w:themeColor="text1"/>
                <w:lang w:val="ro-RO"/>
              </w:rPr>
            </w:pPr>
            <w:r w:rsidRPr="003117B3">
              <w:rPr>
                <w:rFonts w:ascii="Times New Roman" w:eastAsia="Arial Unicode MS" w:hAnsi="Times New Roman" w:cs="Times New Roman"/>
                <w:b/>
                <w:bCs/>
                <w:color w:val="000000" w:themeColor="text1"/>
                <w:lang w:val="ro-RO"/>
              </w:rPr>
              <w:lastRenderedPageBreak/>
              <w:t>Secțiunea 2  Factorii  de finanțare  stabilă  necesară</w:t>
            </w:r>
          </w:p>
          <w:p w14:paraId="636CD70C" w14:textId="4289DF5E"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1. Factorul de finanţare stabilă necesară de 0 % </w:t>
            </w:r>
          </w:p>
          <w:p w14:paraId="6182C578" w14:textId="179074F0"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 </w:t>
            </w:r>
            <w:r w:rsidR="006D6341" w:rsidRPr="003117B3">
              <w:rPr>
                <w:rFonts w:ascii="Times New Roman" w:eastAsia="Arial Unicode MS" w:hAnsi="Times New Roman" w:cs="Times New Roman"/>
                <w:b/>
                <w:bCs/>
                <w:color w:val="000000" w:themeColor="text1"/>
                <w:lang w:val="ro-RO"/>
              </w:rPr>
              <w:t>109</w:t>
            </w:r>
            <w:r w:rsidR="006D6341" w:rsidRPr="003117B3">
              <w:rPr>
                <w:rFonts w:ascii="Times New Roman" w:eastAsia="Arial Unicode MS" w:hAnsi="Times New Roman" w:cs="Times New Roman"/>
                <w:b/>
                <w:bCs/>
                <w:color w:val="000000" w:themeColor="text1"/>
                <w:vertAlign w:val="superscript"/>
                <w:lang w:val="ro-RO"/>
              </w:rPr>
              <w:t>56</w:t>
            </w:r>
            <w:r w:rsidRPr="003117B3">
              <w:rPr>
                <w:rFonts w:ascii="Times New Roman" w:eastAsia="Arial Unicode MS" w:hAnsi="Times New Roman" w:cs="Times New Roman"/>
                <w:bCs/>
                <w:color w:val="000000" w:themeColor="text1"/>
                <w:lang w:val="ro-RO"/>
              </w:rPr>
              <w:t>. Următoarelor active li se aplică un factor de finanţare stabilă necesară de 0 %:</w:t>
            </w:r>
          </w:p>
          <w:p w14:paraId="70DE6BD3"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lastRenderedPageBreak/>
              <w:t>1) activele negrevate de sarcini cu un nivel ridicat de calitate care sunt eligibile ca active lichide de nivel 1 în temeiul capitolului II, titlul II,</w:t>
            </w:r>
            <w:r w:rsidRPr="003117B3">
              <w:rPr>
                <w:rFonts w:ascii="Times New Roman" w:eastAsia="Times New Roman" w:hAnsi="Times New Roman" w:cs="Times New Roman"/>
                <w:color w:val="000000" w:themeColor="text1"/>
                <w:lang w:val="it-IT"/>
              </w:rPr>
              <w:t xml:space="preserve"> </w:t>
            </w:r>
            <w:r w:rsidRPr="003117B3">
              <w:rPr>
                <w:rFonts w:ascii="Times New Roman" w:eastAsia="Arial Unicode MS" w:hAnsi="Times New Roman" w:cs="Times New Roman"/>
                <w:bCs/>
                <w:color w:val="000000" w:themeColor="text1"/>
                <w:lang w:val="ro-RO"/>
              </w:rPr>
              <w:t>indiferent de conformitatea acestora cu cerinţele operaţionale prevăzute în</w:t>
            </w:r>
            <w:r w:rsidRPr="003117B3">
              <w:rPr>
                <w:rFonts w:ascii="Times New Roman" w:eastAsia="Times New Roman" w:hAnsi="Times New Roman" w:cs="Times New Roman"/>
                <w:color w:val="000000" w:themeColor="text1"/>
                <w:lang w:val="it-IT"/>
              </w:rPr>
              <w:t xml:space="preserve"> </w:t>
            </w:r>
            <w:r w:rsidRPr="003117B3">
              <w:rPr>
                <w:rFonts w:ascii="Times New Roman" w:eastAsia="Arial Unicode MS" w:hAnsi="Times New Roman" w:cs="Times New Roman"/>
                <w:bCs/>
                <w:color w:val="000000" w:themeColor="text1"/>
                <w:lang w:val="ro-RO"/>
              </w:rPr>
              <w:t>respectivul capitol;</w:t>
            </w:r>
          </w:p>
          <w:p w14:paraId="1FDB78B0"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2) acţiunile sau unităţile deţinute în OPC-uri negrevate de sarcini care sunt eligibile pentru o ajustare de 0 % pentru calculul indicatorului de acoperire a necesarului de lichiditate în temeiul capitolului II, titlul II, indiferent de conformitatea acestora cu cerinţele operaţionale și cu cerinţele privind compoziţia rezervei de lichidităţi prevăzute în respectivul capitol;</w:t>
            </w:r>
          </w:p>
          <w:p w14:paraId="41B1B54E"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3) toate rezervele băncilor, deţinute la BNM, BCE sau la banca centrală a unui alt stat, inclusiv rezervele obligatorii și rezervele excedentare;</w:t>
            </w:r>
          </w:p>
          <w:p w14:paraId="5985421B"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4) toate creanţele faţă de BNM, BCE sau de banca centrală a unui alt stat care au o scadenţă reziduală de mai puţin de șase luni;</w:t>
            </w:r>
          </w:p>
          <w:p w14:paraId="6845FEAA" w14:textId="1BE2CC45"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lastRenderedPageBreak/>
              <w:t xml:space="preserve">5) sumele de primit la data tranzacţionării care provin din vânzarea de instrumente financiare, valute sau mărfuri care se preconizează că vor fi decontate în ciclul standard sau perioada standard de decontare care este tipică pentru </w:t>
            </w:r>
            <w:r w:rsidR="009305BA" w:rsidRPr="003117B3">
              <w:rPr>
                <w:rFonts w:ascii="Times New Roman" w:eastAsia="Arial Unicode MS" w:hAnsi="Times New Roman" w:cs="Times New Roman"/>
                <w:bCs/>
                <w:color w:val="000000" w:themeColor="text1"/>
                <w:lang w:val="ro-RO"/>
              </w:rPr>
              <w:t>bursa relevantă</w:t>
            </w:r>
            <w:r w:rsidRPr="003117B3">
              <w:rPr>
                <w:rFonts w:ascii="Times New Roman" w:eastAsia="Arial Unicode MS" w:hAnsi="Times New Roman" w:cs="Times New Roman"/>
                <w:bCs/>
                <w:color w:val="000000" w:themeColor="text1"/>
                <w:lang w:val="ro-RO"/>
              </w:rPr>
              <w:t xml:space="preserve"> sau pentru tipul de tranzacţie în cauză sau în cazul cărora decontarea nu a fost executată, dar se preconizează totuși că va fi executată;</w:t>
            </w:r>
          </w:p>
          <w:p w14:paraId="6047BF6F"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6) activele care sunt clasificate ca fiind interdependente de pasive în conformitate cu secțiunea 5, capitolul I din prezentul titlu;</w:t>
            </w:r>
          </w:p>
          <w:p w14:paraId="3A44C92B" w14:textId="77777777" w:rsidR="007C7B76"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7) sumele datorate din operaţiuni de finanţare prin titluri de valoare cu clienţi financiari, în cazul în care aceste operaţiuni au o scadenţă reziduală mai mică de șase luni, în cazul în care sumele datorate respective sunt garantate cu active care se califică drept active de nivel 1 în temeiul capitolului II, titlul II, și în cazul în care banca ar fi abilitată din punct de vedere juridic și ar fi în măsură din punct de vedere operaţional </w:t>
            </w:r>
            <w:r w:rsidRPr="003117B3">
              <w:rPr>
                <w:rFonts w:ascii="Times New Roman" w:eastAsia="Arial Unicode MS" w:hAnsi="Times New Roman" w:cs="Times New Roman"/>
                <w:bCs/>
                <w:color w:val="000000" w:themeColor="text1"/>
                <w:lang w:val="ro-RO"/>
              </w:rPr>
              <w:lastRenderedPageBreak/>
              <w:t>să reutilizeze activele respective pentru toată durata tranzacţiei.</w:t>
            </w:r>
          </w:p>
          <w:p w14:paraId="1F180820" w14:textId="7BE63F00" w:rsidR="004F4458" w:rsidRPr="003117B3" w:rsidRDefault="008F2E54"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57</w:t>
            </w:r>
            <w:r w:rsidR="004F4458" w:rsidRPr="003117B3">
              <w:rPr>
                <w:rFonts w:ascii="Times New Roman" w:eastAsia="Arial Unicode MS" w:hAnsi="Times New Roman" w:cs="Times New Roman"/>
                <w:bCs/>
                <w:color w:val="000000" w:themeColor="text1"/>
                <w:lang w:val="ro-RO"/>
              </w:rPr>
              <w:t xml:space="preserve">. Băncile iau în considerare sumele datorate menţionate la subpct.7) pct. </w:t>
            </w: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56</w:t>
            </w:r>
            <w:r w:rsidRPr="003117B3">
              <w:rPr>
                <w:rFonts w:ascii="Times New Roman" w:eastAsia="Arial Unicode MS" w:hAnsi="Times New Roman" w:cs="Times New Roman"/>
                <w:bCs/>
                <w:color w:val="000000" w:themeColor="text1"/>
                <w:lang w:val="ro-RO"/>
              </w:rPr>
              <w:t xml:space="preserve"> </w:t>
            </w:r>
            <w:r w:rsidR="004F4458" w:rsidRPr="003117B3">
              <w:rPr>
                <w:rFonts w:ascii="Times New Roman" w:eastAsia="Arial Unicode MS" w:hAnsi="Times New Roman" w:cs="Times New Roman"/>
                <w:bCs/>
                <w:color w:val="000000" w:themeColor="text1"/>
                <w:lang w:val="ro-RO"/>
              </w:rPr>
              <w:t>pe o bază netă în cazul în care se aplică secțiunea 4, capitolul I din prezentul titlu.</w:t>
            </w:r>
          </w:p>
        </w:tc>
        <w:tc>
          <w:tcPr>
            <w:tcW w:w="336" w:type="pct"/>
          </w:tcPr>
          <w:p w14:paraId="77FC79AE" w14:textId="0D1BFD42" w:rsidR="004F4458" w:rsidRPr="003117B3" w:rsidRDefault="004148E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2BD5020C"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25BC4753"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643CA441"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F57A2A6"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(2) Prin derogare de la alineatul (1) litera (c), autorităţile competente pot decide, de comun acord cu banca centrală relevantă, să aplice un factor mai mare de finanţare stabilă necesară rezervelor obligatorii, ţinând seama, în special, de măsura în care există cerinţe privind rezervele pe un orizont de un an și, prin urmare, necesită o finanţare stabilă asociată.</w:t>
            </w:r>
          </w:p>
          <w:p w14:paraId="7D2E33CF" w14:textId="50078156"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Pentru filialele care își au sediul social într-o ţară terţă în care rezervelor obligatorii ale băncii centrale li se aplică un factor mai mare de finanţare stabilă necesară în temeiul cerinţei de finanţare stabilă netă prevăzute în legislaţia naţională a ţării terţe respective, respectivul factor de finanţare stabilă necesară mai mare este luat în considerare în vederea consolidării.</w:t>
            </w:r>
          </w:p>
        </w:tc>
        <w:tc>
          <w:tcPr>
            <w:tcW w:w="1249" w:type="pct"/>
          </w:tcPr>
          <w:p w14:paraId="75EDD8BB" w14:textId="3FD3C60B" w:rsidR="004F4458" w:rsidRPr="003117B3" w:rsidRDefault="008F2E54"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58</w:t>
            </w:r>
            <w:r w:rsidR="004F4458" w:rsidRPr="003117B3">
              <w:rPr>
                <w:rFonts w:ascii="Times New Roman" w:eastAsia="Arial Unicode MS" w:hAnsi="Times New Roman" w:cs="Times New Roman"/>
                <w:bCs/>
                <w:color w:val="000000" w:themeColor="text1"/>
                <w:lang w:val="ro-RO"/>
              </w:rPr>
              <w:t>. Prin derogare de la subpct.3) pct.</w:t>
            </w:r>
            <w:r w:rsidRPr="003117B3">
              <w:rPr>
                <w:rFonts w:ascii="Times New Roman" w:eastAsia="Arial Unicode MS" w:hAnsi="Times New Roman" w:cs="Times New Roman"/>
                <w:bCs/>
                <w:color w:val="000000" w:themeColor="text1"/>
                <w:lang w:val="ro-RO"/>
              </w:rPr>
              <w:t xml:space="preserve"> 109</w:t>
            </w:r>
            <w:r w:rsidRPr="003117B3">
              <w:rPr>
                <w:rFonts w:ascii="Times New Roman" w:eastAsia="Arial Unicode MS" w:hAnsi="Times New Roman" w:cs="Times New Roman"/>
                <w:bCs/>
                <w:color w:val="000000" w:themeColor="text1"/>
                <w:vertAlign w:val="superscript"/>
                <w:lang w:val="ro-RO"/>
              </w:rPr>
              <w:t>56</w:t>
            </w:r>
            <w:r w:rsidR="004F4458" w:rsidRPr="003117B3">
              <w:rPr>
                <w:rFonts w:ascii="Times New Roman" w:eastAsia="Arial Unicode MS" w:hAnsi="Times New Roman" w:cs="Times New Roman"/>
                <w:bCs/>
                <w:color w:val="000000" w:themeColor="text1"/>
                <w:lang w:val="ro-RO"/>
              </w:rPr>
              <w:t>, BNM poate decide să aplice un factor mai mare de finanţare stabilă necesară rezervelor obligatorii, ţinând seama, în special, de măsura în care există cerinţe privind rezervele pe un orizont de un an și, prin urmare, necesită o finanţare stabilă asociată.</w:t>
            </w:r>
          </w:p>
          <w:p w14:paraId="70868940" w14:textId="4B0BCEAC" w:rsidR="004F4458" w:rsidRPr="003117B3" w:rsidRDefault="008F2E54"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59</w:t>
            </w:r>
            <w:r w:rsidR="004F4458" w:rsidRPr="003117B3">
              <w:rPr>
                <w:rFonts w:ascii="Times New Roman" w:eastAsia="Arial Unicode MS" w:hAnsi="Times New Roman" w:cs="Times New Roman"/>
                <w:bCs/>
                <w:color w:val="000000" w:themeColor="text1"/>
                <w:lang w:val="ro-RO"/>
              </w:rPr>
              <w:t>. Pentru filialele care își au sediul social într-un alt stat în care rezervelor obligatorii la banca centrală li se aplică un factor mai mare de finanţare stabilă necesară în temeiul cerinţei de finanţare stabilă netă prevăzute în legislaţia naţională a statului respectiv, respectivul factor de finanţare stabilă necesară mai mare este luat în considerare în vederea consolidării.</w:t>
            </w:r>
          </w:p>
        </w:tc>
        <w:tc>
          <w:tcPr>
            <w:tcW w:w="336" w:type="pct"/>
          </w:tcPr>
          <w:p w14:paraId="744C6298" w14:textId="68558465" w:rsidR="004F4458" w:rsidRPr="003117B3" w:rsidRDefault="004148E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316F5549"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172792EF"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AF055CA"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70D197A" w14:textId="77777777" w:rsidR="004F4458" w:rsidRPr="003117B3" w:rsidRDefault="004F4458" w:rsidP="004F4458">
            <w:pPr>
              <w:spacing w:after="0" w:line="276" w:lineRule="auto"/>
              <w:jc w:val="both"/>
              <w:rPr>
                <w:rFonts w:ascii="Times New Roman" w:hAnsi="Times New Roman" w:cs="Times New Roman"/>
                <w:b/>
                <w:color w:val="000000" w:themeColor="text1"/>
              </w:rPr>
            </w:pPr>
            <w:r w:rsidRPr="003117B3">
              <w:rPr>
                <w:rFonts w:ascii="Times New Roman" w:hAnsi="Times New Roman" w:cs="Times New Roman"/>
                <w:b/>
                <w:color w:val="000000" w:themeColor="text1"/>
              </w:rPr>
              <w:lastRenderedPageBreak/>
              <w:t>Articolul 428s</w:t>
            </w:r>
          </w:p>
          <w:p w14:paraId="1C970988" w14:textId="77777777" w:rsidR="004F4458" w:rsidRPr="003117B3" w:rsidRDefault="004F4458" w:rsidP="004F4458">
            <w:pPr>
              <w:spacing w:after="0" w:line="276" w:lineRule="auto"/>
              <w:jc w:val="both"/>
              <w:rPr>
                <w:rFonts w:ascii="Times New Roman" w:hAnsi="Times New Roman" w:cs="Times New Roman"/>
                <w:b/>
                <w:color w:val="000000" w:themeColor="text1"/>
              </w:rPr>
            </w:pPr>
            <w:r w:rsidRPr="003117B3">
              <w:rPr>
                <w:rFonts w:ascii="Times New Roman" w:hAnsi="Times New Roman" w:cs="Times New Roman"/>
                <w:b/>
                <w:color w:val="000000" w:themeColor="text1"/>
              </w:rPr>
              <w:t>Factorul de finanţare stabilă necesară de 5 %</w:t>
            </w:r>
          </w:p>
          <w:p w14:paraId="69556053" w14:textId="77777777"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(1) Următoarele active și elemente extrabilanţiere fac obiectul unui factor de finanţare stabilă necesară de 5 %:</w:t>
            </w:r>
          </w:p>
          <w:p w14:paraId="0B5D39A8"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acţiunile sau unităţile la OPC-uri negrevate de sarcini care sunt eligibile pentru o ajustare de 5 % pentru calculul indicatorului de acoperire a necesarului de lichiditate în conformitate cu actul delegat menţionat la articolul 460 alineatul (1), indiferent de conformitatea acestora cu cerinţele operaţionale și cu cerinţele privind compoziţia rezervei de lichidităţi, astfel cum sunt prevăzute în respectivul act delegat;</w:t>
            </w:r>
          </w:p>
          <w:p w14:paraId="12798BEB"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sumele datorate din operaţiuni de finanţare prin titluri de valoare cu clienţi financiari, în cazul în care tranzacţiile respective au o scadenţă reziduală mai mică de șase luni, altele decât cele menţionate la articolul 428r alineatul (1) litera (g).</w:t>
            </w:r>
          </w:p>
          <w:p w14:paraId="5BF97E7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partea neutilizată din facilităţile de credit și lichiditate angajate, în temeiul actului delegat menţionat la articolul 460 alineatul (1);</w:t>
            </w:r>
          </w:p>
          <w:p w14:paraId="0D74F7F1"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 produsele extrabilanţiere aferente finanţării comerţului menţionate în anexa I cu o scadenţă reziduală mai mică de șase luni.</w:t>
            </w:r>
          </w:p>
          <w:p w14:paraId="6E31E809" w14:textId="02CD624F"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Instituţiile iau în considerare sumele datorate menţionate la litera (b) de la primul paragraf al prezentului alineat pe o bază netă în cazul în care se aplică articolul 423e.</w:t>
            </w:r>
          </w:p>
        </w:tc>
        <w:tc>
          <w:tcPr>
            <w:tcW w:w="1249" w:type="pct"/>
          </w:tcPr>
          <w:p w14:paraId="2CD2C8BA" w14:textId="5EDC3FD6"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lastRenderedPageBreak/>
              <w:t>Subsecțiunea 2. Factorul de fin</w:t>
            </w:r>
            <w:r w:rsidR="00467591" w:rsidRPr="003117B3">
              <w:rPr>
                <w:rFonts w:ascii="Times New Roman" w:eastAsia="Arial Unicode MS" w:hAnsi="Times New Roman" w:cs="Times New Roman"/>
                <w:b/>
                <w:bCs/>
                <w:i/>
                <w:color w:val="000000" w:themeColor="text1"/>
                <w:lang w:val="ro-RO"/>
              </w:rPr>
              <w:t xml:space="preserve">anţare stabilă necesară de 5 % </w:t>
            </w:r>
          </w:p>
          <w:p w14:paraId="2D6B48AF" w14:textId="6AA77D50" w:rsidR="004F4458" w:rsidRPr="003117B3" w:rsidRDefault="008F2E54"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60</w:t>
            </w:r>
            <w:r w:rsidR="004F4458" w:rsidRPr="003117B3">
              <w:rPr>
                <w:rFonts w:ascii="Times New Roman" w:eastAsia="Arial Unicode MS" w:hAnsi="Times New Roman" w:cs="Times New Roman"/>
                <w:bCs/>
                <w:color w:val="000000" w:themeColor="text1"/>
                <w:lang w:val="ro-RO"/>
              </w:rPr>
              <w:t>. Următoarele active și elemente extrabilanţiere fac obiectul unui factor de finanţare stabilă necesară de 5 %:</w:t>
            </w:r>
          </w:p>
          <w:p w14:paraId="07D0357F"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 acţiunile sau unităţile deţinute în OPC-uri negrevate de sarcini care sunt eligibile pentru o ajustare de 5 % pentru calculul indicatorului de acoperire a necesarului de lichiditate în conformitate cu capitolul II, titlul II, indiferent de conformitatea acestora cu cerinţele operaţionale și cu cerinţele privind compoziţia rezervei de lichidităţi, astfel cum sunt prevăzute în capitolul II, titlul II;</w:t>
            </w:r>
          </w:p>
          <w:p w14:paraId="59A10D65" w14:textId="78FA9350"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2) sumele datorate din operaţiuni de finanţare prin titluri de valoare cu clienţi financiari, în cazul în care tranzacţiile respective au o scadenţă reziduală mai mică de șase luni, altele decât cele menţionate la subpct.7) pct. </w:t>
            </w:r>
            <w:r w:rsidR="008F2E54" w:rsidRPr="003117B3">
              <w:rPr>
                <w:rFonts w:ascii="Times New Roman" w:eastAsia="Arial Unicode MS" w:hAnsi="Times New Roman" w:cs="Times New Roman"/>
                <w:bCs/>
                <w:color w:val="000000" w:themeColor="text1"/>
                <w:lang w:val="ro-RO"/>
              </w:rPr>
              <w:t>109</w:t>
            </w:r>
            <w:r w:rsidR="008F2E54" w:rsidRPr="003117B3">
              <w:rPr>
                <w:rFonts w:ascii="Times New Roman" w:eastAsia="Arial Unicode MS" w:hAnsi="Times New Roman" w:cs="Times New Roman"/>
                <w:bCs/>
                <w:color w:val="000000" w:themeColor="text1"/>
                <w:vertAlign w:val="superscript"/>
                <w:lang w:val="ro-RO"/>
              </w:rPr>
              <w:t>56</w:t>
            </w:r>
            <w:r w:rsidRPr="003117B3">
              <w:rPr>
                <w:rFonts w:ascii="Times New Roman" w:eastAsia="Arial Unicode MS" w:hAnsi="Times New Roman" w:cs="Times New Roman"/>
                <w:bCs/>
                <w:color w:val="000000" w:themeColor="text1"/>
                <w:lang w:val="ro-RO"/>
              </w:rPr>
              <w:t>.</w:t>
            </w:r>
          </w:p>
          <w:p w14:paraId="128BC7BE"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3) partea neutilizată din facilităţile de credit și lichiditate angajate, în temeiul capitolului III, titlul II;</w:t>
            </w:r>
          </w:p>
          <w:p w14:paraId="177A74A8"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lastRenderedPageBreak/>
              <w:t>4) produsele extrabilanţiere aferente finanţării comerţului menţionate în anexa nr.1 la Regulamentul nr.114/2018 cu o scadenţă reziduală mai mică de șase luni.</w:t>
            </w:r>
          </w:p>
          <w:p w14:paraId="0B9F93B0" w14:textId="1F047713" w:rsidR="004F4458" w:rsidRPr="003117B3" w:rsidRDefault="008F2E54"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61</w:t>
            </w:r>
            <w:r w:rsidR="004F4458" w:rsidRPr="003117B3">
              <w:rPr>
                <w:rFonts w:ascii="Times New Roman" w:eastAsia="Arial Unicode MS" w:hAnsi="Times New Roman" w:cs="Times New Roman"/>
                <w:bCs/>
                <w:color w:val="000000" w:themeColor="text1"/>
                <w:lang w:val="ro-RO"/>
              </w:rPr>
              <w:t xml:space="preserve">. Băncile iau în considerare sumele datorate menţionate la subpct.2) pct. </w:t>
            </w:r>
            <w:r w:rsidRPr="003117B3">
              <w:rPr>
                <w:rFonts w:ascii="Times New Roman" w:eastAsia="Arial Unicode MS" w:hAnsi="Times New Roman" w:cs="Times New Roman"/>
                <w:bCs/>
                <w:color w:val="000000" w:themeColor="text1"/>
                <w:lang w:val="ro-RO"/>
              </w:rPr>
              <w:t>109</w:t>
            </w:r>
            <w:r w:rsidRPr="003117B3">
              <w:rPr>
                <w:rFonts w:ascii="Times New Roman" w:eastAsia="Arial Unicode MS" w:hAnsi="Times New Roman" w:cs="Times New Roman"/>
                <w:bCs/>
                <w:color w:val="000000" w:themeColor="text1"/>
                <w:vertAlign w:val="superscript"/>
                <w:lang w:val="ro-RO"/>
              </w:rPr>
              <w:t>60</w:t>
            </w:r>
            <w:r w:rsidRPr="003117B3">
              <w:rPr>
                <w:rFonts w:ascii="Times New Roman" w:eastAsia="Arial Unicode MS" w:hAnsi="Times New Roman" w:cs="Times New Roman"/>
                <w:bCs/>
                <w:color w:val="000000" w:themeColor="text1"/>
                <w:lang w:val="ro-RO"/>
              </w:rPr>
              <w:t xml:space="preserve"> </w:t>
            </w:r>
            <w:r w:rsidR="004F4458" w:rsidRPr="003117B3">
              <w:rPr>
                <w:rFonts w:ascii="Times New Roman" w:eastAsia="Arial Unicode MS" w:hAnsi="Times New Roman" w:cs="Times New Roman"/>
                <w:bCs/>
                <w:color w:val="000000" w:themeColor="text1"/>
                <w:lang w:val="ro-RO"/>
              </w:rPr>
              <w:t>pe o bază netă în cazul în care se aplică secțiunea 4, capitolul I din prezentul titlu.</w:t>
            </w:r>
          </w:p>
        </w:tc>
        <w:tc>
          <w:tcPr>
            <w:tcW w:w="336" w:type="pct"/>
          </w:tcPr>
          <w:p w14:paraId="03F18881" w14:textId="4C0C096A" w:rsidR="004F4458" w:rsidRPr="003117B3" w:rsidRDefault="004148E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640E6DDD"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1899AF8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9132A93"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09965F1" w14:textId="75D83746"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(2) Pentru toate seturile de compensare a contractelor derivate, instituţiile aplică un factor de finanţare stabilă necesară de 5 % valorii juste, în termeni absoluţi, a acestor seturi de compensare a contractelor derivate, incluzând orice garanţie furnizată, în cazul în care seturile de compensare respective au o valoare justă negativă. În sensul prezentului alineat, instituţiile determină valoarea justă drept incluzând orice garanţie depusă sau decontarea plăţilor și încasărilor legate de modificări în privinţa evaluării de piaţă ale unor astfel de contracte.</w:t>
            </w:r>
          </w:p>
        </w:tc>
        <w:tc>
          <w:tcPr>
            <w:tcW w:w="1249" w:type="pct"/>
          </w:tcPr>
          <w:p w14:paraId="67E8791C" w14:textId="0958DE89" w:rsidR="004F4458" w:rsidRPr="003117B3" w:rsidRDefault="008F2E54"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62</w:t>
            </w:r>
            <w:r w:rsidR="004F4458" w:rsidRPr="003117B3">
              <w:rPr>
                <w:rFonts w:ascii="Times New Roman" w:eastAsia="Arial Unicode MS" w:hAnsi="Times New Roman" w:cs="Times New Roman"/>
                <w:bCs/>
                <w:color w:val="000000" w:themeColor="text1"/>
                <w:lang w:val="ro-RO"/>
              </w:rPr>
              <w:t>.Pentru toate seturile de compensare a contractelor derivate, băncile aplică un factor de finanţare stabilă necesară de 5 % la valoarea absolută a valorii juste a acestor seturi de compensare a contractelor derivate, incluzând orice garanţie furnizată, în cazul în care seturile de compensare respective au o valoare justă negativă. În sensul prezentului punct, băncile determină valoarea justă ca valoarea brută a oricăror garanţii depuse sau plăți de decontare și încasărilor legate de modificări ale prețului de piaţă ale unor astfel de contracte.</w:t>
            </w:r>
          </w:p>
        </w:tc>
        <w:tc>
          <w:tcPr>
            <w:tcW w:w="336" w:type="pct"/>
          </w:tcPr>
          <w:p w14:paraId="5C7B079A" w14:textId="661E9899" w:rsidR="004F4458" w:rsidRPr="003117B3" w:rsidRDefault="004148E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76DF9661"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7A98F59B"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0A346036"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78BC488"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lastRenderedPageBreak/>
              <w:t>Articolul 428t</w:t>
            </w:r>
          </w:p>
          <w:p w14:paraId="17FF4883"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7 %</w:t>
            </w:r>
          </w:p>
          <w:p w14:paraId="6FF2C570" w14:textId="378D786C"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Activelor negrevate de sarcini eligibile drept obligaţiuni garantate de nivel 1 cu un nivel extrem de ridicat de calitate în temeiul actului delegat menţionat la articolul 460 alineatul (1) li se aplică un factor de finanţare stabilă necesară de 7 %, indiferent de conformitatea acestora cu cerinţele operaţionale și cu cerinţele privind compoziţia rezervei de lichidităţi, astfel cum sunt prevăzute în respectivul act delegat.</w:t>
            </w:r>
          </w:p>
        </w:tc>
        <w:tc>
          <w:tcPr>
            <w:tcW w:w="1249" w:type="pct"/>
          </w:tcPr>
          <w:p w14:paraId="4F8D42D0"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7948F967" w14:textId="2E7C2405"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RO"/>
              </w:rPr>
              <w:t>Nu se transpune</w:t>
            </w:r>
          </w:p>
        </w:tc>
        <w:tc>
          <w:tcPr>
            <w:tcW w:w="1153" w:type="pct"/>
          </w:tcPr>
          <w:p w14:paraId="7F94EE6F" w14:textId="10F5D1ED"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RO"/>
              </w:rPr>
              <w:t>Este o prevedere aferentă obligațiunilor garantate și altor instrumente financiare structurate. Prevederile aferente obligațiunilor garantate și altor instrumente financiare structurate din Regulamentul 575/2013 nu au fost transpuse, deoarece aceste instrumente lipsesc pe piața Republicii Moldova</w:t>
            </w:r>
            <w:r w:rsidR="00561B42" w:rsidRPr="003117B3">
              <w:rPr>
                <w:color w:val="000000" w:themeColor="text1"/>
                <w:lang w:val="ro-RO"/>
              </w:rPr>
              <w:t xml:space="preserve"> </w:t>
            </w:r>
            <w:r w:rsidR="00561B42" w:rsidRPr="003117B3">
              <w:rPr>
                <w:rFonts w:ascii="Times New Roman" w:hAnsi="Times New Roman" w:cs="Times New Roman"/>
                <w:color w:val="000000" w:themeColor="text1"/>
                <w:lang w:val="ro-RO"/>
              </w:rPr>
              <w:t>și nu sunt reglementate de cadrul primar</w:t>
            </w:r>
            <w:r w:rsidRPr="003117B3">
              <w:rPr>
                <w:rFonts w:ascii="Times New Roman" w:hAnsi="Times New Roman" w:cs="Times New Roman"/>
                <w:color w:val="000000" w:themeColor="text1"/>
                <w:lang w:val="ro-RO"/>
              </w:rPr>
              <w:t>.</w:t>
            </w:r>
          </w:p>
        </w:tc>
        <w:tc>
          <w:tcPr>
            <w:tcW w:w="674" w:type="pct"/>
          </w:tcPr>
          <w:p w14:paraId="0F8C08A5"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1F2C9A21"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1577BA1"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428u</w:t>
            </w:r>
          </w:p>
          <w:p w14:paraId="742EBF81"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7,5 %</w:t>
            </w:r>
          </w:p>
          <w:p w14:paraId="4FC79385" w14:textId="4075A6E8"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Produsele extrabilanţiere aferente finanţării comerţului menţionate în anexa I care au o scadenţă reziduală de cel puţin șase luni, dar mai mică de un an fac obiectul unui factor de finanţare stabilă necesară de 7,5 %.</w:t>
            </w:r>
          </w:p>
        </w:tc>
        <w:tc>
          <w:tcPr>
            <w:tcW w:w="1249" w:type="pct"/>
          </w:tcPr>
          <w:p w14:paraId="3426B7FD" w14:textId="62688D2C"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3. Factorul de finanţare stabilă necesară de 7,5 % </w:t>
            </w:r>
          </w:p>
          <w:p w14:paraId="3673336D" w14:textId="315DDDF3" w:rsidR="004F4458" w:rsidRPr="003117B3" w:rsidRDefault="008F2E54" w:rsidP="007C7B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63</w:t>
            </w:r>
            <w:r w:rsidR="004F4458" w:rsidRPr="003117B3">
              <w:rPr>
                <w:rFonts w:ascii="Times New Roman" w:eastAsia="Arial Unicode MS" w:hAnsi="Times New Roman" w:cs="Times New Roman"/>
                <w:bCs/>
                <w:color w:val="000000" w:themeColor="text1"/>
                <w:lang w:val="ro-RO"/>
              </w:rPr>
              <w:t>. Produsele extrabilanţiere aferente finanţării comerţului menţionate în anexa nr.1 la Regulamentul nr.114/2018  care au o scadenţă reziduală de cel puţin șase luni, dar mai mică de un an fac obiectul unui factor de finanţare stabilă necesară de 7,5 %.</w:t>
            </w:r>
          </w:p>
        </w:tc>
        <w:tc>
          <w:tcPr>
            <w:tcW w:w="336" w:type="pct"/>
          </w:tcPr>
          <w:p w14:paraId="7C88BBD4" w14:textId="0544CCA5" w:rsidR="004F4458" w:rsidRPr="003117B3" w:rsidRDefault="004148E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249AAF0D"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5D3A4316"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BA9777B"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A6AD72F"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428v</w:t>
            </w:r>
          </w:p>
          <w:p w14:paraId="2FCDFC65"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10 %</w:t>
            </w:r>
          </w:p>
          <w:p w14:paraId="0C586BC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Următoarele active și elemente extrabilanţiere fac obiectul unui factor de finanţare stabilă necesară de 10 %:</w:t>
            </w:r>
          </w:p>
          <w:p w14:paraId="372ACCB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sumele datorate din tranzacţii cu clienţi financiari care au o scadenţă reziduală mai mică de șase luni, altele decât cele menţionate la articolul 428r alineatul (1) litera (g) și la articolul 428s alineatul (1) litera (b);</w:t>
            </w:r>
          </w:p>
          <w:p w14:paraId="7FFD51A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produsele din bilanţ aferente finanţării comerţului cu o scadenţă reziduală mai mică de șase luni;</w:t>
            </w:r>
          </w:p>
          <w:p w14:paraId="3BA317C2" w14:textId="3431D865"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produsele extrabilanţiere aferente finanţării comerţului menţionate în anexa I cu o scadenţă reziduală de cel puţin un an.</w:t>
            </w:r>
          </w:p>
        </w:tc>
        <w:tc>
          <w:tcPr>
            <w:tcW w:w="1249" w:type="pct"/>
          </w:tcPr>
          <w:p w14:paraId="371F498D" w14:textId="005F4862"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lastRenderedPageBreak/>
              <w:t xml:space="preserve">Subsecțiunea 4. Factorul de finanţare stabilă necesară de 10 % </w:t>
            </w:r>
          </w:p>
          <w:p w14:paraId="46556832" w14:textId="5E66C7A2" w:rsidR="004F4458" w:rsidRPr="003117B3" w:rsidRDefault="008F2E54"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lastRenderedPageBreak/>
              <w:t>109</w:t>
            </w:r>
            <w:r w:rsidRPr="003117B3">
              <w:rPr>
                <w:rFonts w:ascii="Times New Roman" w:eastAsia="Arial Unicode MS" w:hAnsi="Times New Roman" w:cs="Times New Roman"/>
                <w:b/>
                <w:bCs/>
                <w:color w:val="000000" w:themeColor="text1"/>
                <w:vertAlign w:val="superscript"/>
                <w:lang w:val="ro-RO"/>
              </w:rPr>
              <w:t>64</w:t>
            </w:r>
            <w:r w:rsidR="004F4458" w:rsidRPr="003117B3">
              <w:rPr>
                <w:rFonts w:ascii="Times New Roman" w:eastAsia="Arial Unicode MS" w:hAnsi="Times New Roman" w:cs="Times New Roman"/>
                <w:bCs/>
                <w:color w:val="000000" w:themeColor="text1"/>
                <w:lang w:val="ro-RO"/>
              </w:rPr>
              <w:t>. Următoarele active și elemente extrabilanţiere fac obiectul unui factor de finanţare stabilă necesară de 10 %:</w:t>
            </w:r>
          </w:p>
          <w:p w14:paraId="558B30B6" w14:textId="3FB912FD"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sumele datorate din tranzacţii cu clienţi financiari care au o scadenţă reziduală mai mică de șase luni, altele decât cele menţionate la </w:t>
            </w:r>
            <w:r w:rsidR="0051032D" w:rsidRPr="003117B3">
              <w:rPr>
                <w:rFonts w:ascii="Times New Roman" w:eastAsia="Arial Unicode MS" w:hAnsi="Times New Roman" w:cs="Times New Roman"/>
                <w:bCs/>
                <w:color w:val="000000" w:themeColor="text1"/>
                <w:lang w:val="ro-RO"/>
              </w:rPr>
              <w:t xml:space="preserve">subpct.7) </w:t>
            </w:r>
            <w:r w:rsidRPr="003117B3">
              <w:rPr>
                <w:rFonts w:ascii="Times New Roman" w:eastAsia="Arial Unicode MS" w:hAnsi="Times New Roman" w:cs="Times New Roman"/>
                <w:bCs/>
                <w:color w:val="000000" w:themeColor="text1"/>
                <w:lang w:val="ro-RO"/>
              </w:rPr>
              <w:t xml:space="preserve">pct. </w:t>
            </w:r>
            <w:r w:rsidR="008F2E54" w:rsidRPr="003117B3">
              <w:rPr>
                <w:rFonts w:ascii="Times New Roman" w:eastAsia="Arial Unicode MS" w:hAnsi="Times New Roman" w:cs="Times New Roman"/>
                <w:bCs/>
                <w:color w:val="000000" w:themeColor="text1"/>
                <w:lang w:val="ro-RO"/>
              </w:rPr>
              <w:t>109</w:t>
            </w:r>
            <w:r w:rsidR="008F2E54" w:rsidRPr="003117B3">
              <w:rPr>
                <w:rFonts w:ascii="Times New Roman" w:eastAsia="Arial Unicode MS" w:hAnsi="Times New Roman" w:cs="Times New Roman"/>
                <w:bCs/>
                <w:color w:val="000000" w:themeColor="text1"/>
                <w:vertAlign w:val="superscript"/>
                <w:lang w:val="ro-RO"/>
              </w:rPr>
              <w:t>56</w:t>
            </w:r>
            <w:r w:rsidR="008F2E54" w:rsidRPr="003117B3">
              <w:rPr>
                <w:rFonts w:ascii="Times New Roman" w:eastAsia="Arial Unicode MS" w:hAnsi="Times New Roman" w:cs="Times New Roman"/>
                <w:bCs/>
                <w:color w:val="000000" w:themeColor="text1"/>
                <w:lang w:val="ro-RO"/>
              </w:rPr>
              <w:t xml:space="preserve">  </w:t>
            </w:r>
            <w:r w:rsidRPr="003117B3">
              <w:rPr>
                <w:rFonts w:ascii="Times New Roman" w:eastAsia="Arial Unicode MS" w:hAnsi="Times New Roman" w:cs="Times New Roman"/>
                <w:bCs/>
                <w:color w:val="000000" w:themeColor="text1"/>
                <w:lang w:val="ro-RO"/>
              </w:rPr>
              <w:t>și la</w:t>
            </w:r>
            <w:r w:rsidR="0051032D" w:rsidRPr="003117B3">
              <w:rPr>
                <w:color w:val="000000" w:themeColor="text1"/>
                <w:lang w:val="it-IT"/>
              </w:rPr>
              <w:t xml:space="preserve"> </w:t>
            </w:r>
            <w:r w:rsidR="0051032D" w:rsidRPr="003117B3">
              <w:rPr>
                <w:rFonts w:ascii="Times New Roman" w:eastAsia="Arial Unicode MS" w:hAnsi="Times New Roman" w:cs="Times New Roman"/>
                <w:bCs/>
                <w:color w:val="000000" w:themeColor="text1"/>
                <w:lang w:val="ro-RO"/>
              </w:rPr>
              <w:t>subpct.2)</w:t>
            </w:r>
            <w:r w:rsidRPr="003117B3">
              <w:rPr>
                <w:rFonts w:ascii="Times New Roman" w:eastAsia="Arial Unicode MS" w:hAnsi="Times New Roman" w:cs="Times New Roman"/>
                <w:bCs/>
                <w:color w:val="000000" w:themeColor="text1"/>
                <w:lang w:val="ro-RO"/>
              </w:rPr>
              <w:t xml:space="preserve"> pct.</w:t>
            </w:r>
            <w:r w:rsidR="008F2E54" w:rsidRPr="003117B3">
              <w:rPr>
                <w:rFonts w:ascii="Times New Roman" w:eastAsia="Arial Unicode MS" w:hAnsi="Times New Roman" w:cs="Times New Roman"/>
                <w:bCs/>
                <w:color w:val="000000" w:themeColor="text1"/>
                <w:lang w:val="ro-RO"/>
              </w:rPr>
              <w:t xml:space="preserve"> 109</w:t>
            </w:r>
            <w:r w:rsidR="008F2E54" w:rsidRPr="003117B3">
              <w:rPr>
                <w:rFonts w:ascii="Times New Roman" w:eastAsia="Arial Unicode MS" w:hAnsi="Times New Roman" w:cs="Times New Roman"/>
                <w:bCs/>
                <w:color w:val="000000" w:themeColor="text1"/>
                <w:vertAlign w:val="superscript"/>
                <w:lang w:val="ro-RO"/>
              </w:rPr>
              <w:t>60</w:t>
            </w:r>
            <w:r w:rsidR="00D2775B" w:rsidRPr="003117B3">
              <w:rPr>
                <w:rFonts w:ascii="Times New Roman" w:eastAsia="Arial Unicode MS" w:hAnsi="Times New Roman" w:cs="Times New Roman"/>
                <w:bCs/>
                <w:color w:val="000000" w:themeColor="text1"/>
                <w:lang w:val="ro-RO"/>
              </w:rPr>
              <w:t>;</w:t>
            </w:r>
          </w:p>
          <w:p w14:paraId="57D89B32"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2) produsele din bilanţ aferente finanţării comerţului cu o scadenţă reziduală mai mică de șase luni;</w:t>
            </w:r>
          </w:p>
          <w:p w14:paraId="7AD32FEF" w14:textId="35953754" w:rsidR="004F4458" w:rsidRPr="003117B3" w:rsidRDefault="004F4458" w:rsidP="00345A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3) produsele extrabilanţiere aferente finanţării comerţului menţionate în anexa nr.1 la Regulamentul nr.114/2018 cu o scadenţă reziduală de cel puţin un an.</w:t>
            </w:r>
          </w:p>
        </w:tc>
        <w:tc>
          <w:tcPr>
            <w:tcW w:w="336" w:type="pct"/>
          </w:tcPr>
          <w:p w14:paraId="12E2E873" w14:textId="7FEAD870" w:rsidR="004F4458" w:rsidRPr="003117B3" w:rsidRDefault="004148E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25FC4ABD"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5ACBE8A9"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74F44BA"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984254B"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428w</w:t>
            </w:r>
          </w:p>
          <w:p w14:paraId="6D977952"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12 %</w:t>
            </w:r>
          </w:p>
          <w:p w14:paraId="36495F49" w14:textId="67163F24"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Acţiunilor sau unităţilor la OPC-uri negrevate de sarcini care sunt eligibile pentru o ajustare de 12 % pentru calculul indicatorului de acoperire a necesarului de lichiditate în conformitate cu actul delegat menţionat la articolul 460 alineatul (1), li se aplică un factor de finanţare stabilă necesară de 12 %, indiferent de conformitatea acestora cu cerinţele operaţionale și cu cerinţele privind compoziţia </w:t>
            </w:r>
            <w:r w:rsidRPr="003117B3">
              <w:rPr>
                <w:rFonts w:ascii="Times New Roman" w:hAnsi="Times New Roman" w:cs="Times New Roman"/>
                <w:color w:val="000000" w:themeColor="text1"/>
                <w:lang w:val="it-IT"/>
              </w:rPr>
              <w:lastRenderedPageBreak/>
              <w:t>rezervei de lichidităţi, astfel cum sunt prevăzute în respectivul act delegat.</w:t>
            </w:r>
          </w:p>
        </w:tc>
        <w:tc>
          <w:tcPr>
            <w:tcW w:w="1249" w:type="pct"/>
          </w:tcPr>
          <w:p w14:paraId="37D93562"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22E1BD7B" w14:textId="7D4694A1"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492ED919" w14:textId="2BF4ECC2"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RO"/>
              </w:rPr>
              <w:t xml:space="preserve">Este o prevedere aferentă </w:t>
            </w:r>
            <w:r w:rsidR="00940522" w:rsidRPr="003117B3">
              <w:rPr>
                <w:rFonts w:ascii="Times New Roman" w:hAnsi="Times New Roman" w:cs="Times New Roman"/>
                <w:color w:val="000000" w:themeColor="text1"/>
                <w:lang w:val="ro-RO"/>
              </w:rPr>
              <w:t>OPC-urilor care au în calitate de active lichide suport obligațiuni garantate și alte</w:t>
            </w:r>
            <w:r w:rsidRPr="003117B3">
              <w:rPr>
                <w:rFonts w:ascii="Times New Roman" w:hAnsi="Times New Roman" w:cs="Times New Roman"/>
                <w:color w:val="000000" w:themeColor="text1"/>
                <w:lang w:val="ro-RO"/>
              </w:rPr>
              <w:t xml:space="preserve"> instrumente financiare structurate. Prevederile aferente </w:t>
            </w:r>
            <w:r w:rsidR="00940522" w:rsidRPr="003117B3">
              <w:rPr>
                <w:rFonts w:ascii="Times New Roman" w:hAnsi="Times New Roman" w:cs="Times New Roman"/>
                <w:color w:val="000000" w:themeColor="text1"/>
                <w:lang w:val="ro-RO"/>
              </w:rPr>
              <w:t>OPC-urilor care au în calitate de active lichide suport obligațiuni garantate și alte</w:t>
            </w:r>
            <w:r w:rsidRPr="003117B3">
              <w:rPr>
                <w:rFonts w:ascii="Times New Roman" w:hAnsi="Times New Roman" w:cs="Times New Roman"/>
                <w:color w:val="000000" w:themeColor="text1"/>
                <w:lang w:val="ro-RO"/>
              </w:rPr>
              <w:t xml:space="preserve"> instrumente financiare structurate din Regulamentul 575/2013 nu au fost </w:t>
            </w:r>
            <w:r w:rsidRPr="003117B3">
              <w:rPr>
                <w:rFonts w:ascii="Times New Roman" w:hAnsi="Times New Roman" w:cs="Times New Roman"/>
                <w:color w:val="000000" w:themeColor="text1"/>
                <w:lang w:val="ro-RO"/>
              </w:rPr>
              <w:lastRenderedPageBreak/>
              <w:t>transpuse, deoarece aceste instrumente lipsesc pe piața Republicii Moldova</w:t>
            </w:r>
            <w:r w:rsidR="00561B42" w:rsidRPr="003117B3">
              <w:rPr>
                <w:color w:val="000000" w:themeColor="text1"/>
                <w:lang w:val="ro-RO"/>
              </w:rPr>
              <w:t xml:space="preserve"> </w:t>
            </w:r>
            <w:r w:rsidR="00561B42" w:rsidRPr="003117B3">
              <w:rPr>
                <w:rFonts w:ascii="Times New Roman" w:hAnsi="Times New Roman" w:cs="Times New Roman"/>
                <w:color w:val="000000" w:themeColor="text1"/>
                <w:lang w:val="ro-RO"/>
              </w:rPr>
              <w:t>și nu sunt reglementate de cadrul primar</w:t>
            </w:r>
            <w:r w:rsidRPr="003117B3">
              <w:rPr>
                <w:rFonts w:ascii="Times New Roman" w:hAnsi="Times New Roman" w:cs="Times New Roman"/>
                <w:color w:val="000000" w:themeColor="text1"/>
                <w:lang w:val="ro-RO"/>
              </w:rPr>
              <w:t>.</w:t>
            </w:r>
          </w:p>
        </w:tc>
        <w:tc>
          <w:tcPr>
            <w:tcW w:w="674" w:type="pct"/>
          </w:tcPr>
          <w:p w14:paraId="254B5D84"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2851027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461D270"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428x</w:t>
            </w:r>
          </w:p>
          <w:p w14:paraId="77D2FB5C"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15 %</w:t>
            </w:r>
          </w:p>
          <w:p w14:paraId="68EA3090" w14:textId="7401EF1B"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Activelor negrevate de sarcini eligibile drept active de nivel 2A în temeiul actului delegat menţionat la articolul 460 alineatul (1) li se aplică un factor de finanţare stabilă necesară de 15 %, indiferent de conformitatea acestora cu cerinţele operaţionale și cu cerinţele privind compoziţia rezervei de lichidităţi, astfel cum sunt prevăzute în respectivul act delegat.</w:t>
            </w:r>
          </w:p>
        </w:tc>
        <w:tc>
          <w:tcPr>
            <w:tcW w:w="1249" w:type="pct"/>
          </w:tcPr>
          <w:p w14:paraId="62702264" w14:textId="580CDBF6"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5. Factorul de finanţare stabilă necesară de 15 % </w:t>
            </w:r>
          </w:p>
          <w:p w14:paraId="7B56021D" w14:textId="387858D9" w:rsidR="004F4458" w:rsidRPr="003117B3" w:rsidRDefault="008F2E54" w:rsidP="00345A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65</w:t>
            </w:r>
            <w:r w:rsidR="004F4458" w:rsidRPr="003117B3">
              <w:rPr>
                <w:rFonts w:ascii="Times New Roman" w:eastAsia="Arial Unicode MS" w:hAnsi="Times New Roman" w:cs="Times New Roman"/>
                <w:bCs/>
                <w:color w:val="000000" w:themeColor="text1"/>
                <w:lang w:val="ro-RO"/>
              </w:rPr>
              <w:t>. Activelor negrevate de sarcini eligibile drept active de nivel 2A în temeiul capitolului II din titlul II li se aplică un factor de finanţare stabilă necesară de 15 %, indiferent de conformitatea acestora cu cerinţele operaţionale și cu cerinţele privind compoziţia rezervei de lichidităţi, astfel cum sunt prevăzute în titlul respectiv.</w:t>
            </w:r>
          </w:p>
        </w:tc>
        <w:tc>
          <w:tcPr>
            <w:tcW w:w="336" w:type="pct"/>
          </w:tcPr>
          <w:p w14:paraId="2D9C11C4" w14:textId="666E0D65" w:rsidR="004F4458" w:rsidRPr="003117B3" w:rsidRDefault="009E3C2A"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57625029"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71AA2B6E"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200B83CD"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D73D2AA"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428y</w:t>
            </w:r>
          </w:p>
          <w:p w14:paraId="4F65967A"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20 %</w:t>
            </w:r>
          </w:p>
          <w:p w14:paraId="332748BA" w14:textId="074AB48B"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Acţiunilor sau unităţilor la OPC-uri negrevate de sarcini care sunt eligibile pentru o ajustare de 20 % pentru calculul indicatorului de acoperire a necesarului de lichiditate în conformitate cu actul delegat menţionat la articolul 460 alineatul (1) li se aplică un factor de finanţare stabilă necesară de 20 %, indiferent de conformitatea acestora cu cerinţele </w:t>
            </w:r>
            <w:r w:rsidRPr="003117B3">
              <w:rPr>
                <w:rFonts w:ascii="Times New Roman" w:hAnsi="Times New Roman" w:cs="Times New Roman"/>
                <w:color w:val="000000" w:themeColor="text1"/>
                <w:lang w:val="it-IT"/>
              </w:rPr>
              <w:lastRenderedPageBreak/>
              <w:t>operaţionale și cu cerinţele privind compoziţia rezervei de lichidităţi, astfel cum sunt prevăzute în respectivul act delegat.</w:t>
            </w:r>
          </w:p>
        </w:tc>
        <w:tc>
          <w:tcPr>
            <w:tcW w:w="1249" w:type="pct"/>
          </w:tcPr>
          <w:p w14:paraId="38792E47" w14:textId="41B1AB7E"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lastRenderedPageBreak/>
              <w:t xml:space="preserve">Subsecțiunea 6. Factorul de finanţare stabilă necesară de 20 % </w:t>
            </w:r>
          </w:p>
          <w:p w14:paraId="051DD8F2" w14:textId="7BF553AC" w:rsidR="004F4458" w:rsidRPr="003117B3" w:rsidRDefault="008F2E54" w:rsidP="00345A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66</w:t>
            </w:r>
            <w:r w:rsidR="004F4458" w:rsidRPr="003117B3">
              <w:rPr>
                <w:rFonts w:ascii="Times New Roman" w:eastAsia="Arial Unicode MS" w:hAnsi="Times New Roman" w:cs="Times New Roman"/>
                <w:bCs/>
                <w:color w:val="000000" w:themeColor="text1"/>
                <w:lang w:val="ro-RO"/>
              </w:rPr>
              <w:t xml:space="preserve">. Acţiunilor sau unităţilor la OPC-uri negrevate de sarcini care sunt eligibile pentru o ajustare de 20 % pentru calculul indicatorului de acoperire a necesarului de lichiditate în conformitate cu capitolul II din titlul II li se aplică un factor de finanţare stabilă necesară de 20 %, indiferent de </w:t>
            </w:r>
            <w:r w:rsidR="004F4458" w:rsidRPr="003117B3">
              <w:rPr>
                <w:rFonts w:ascii="Times New Roman" w:eastAsia="Arial Unicode MS" w:hAnsi="Times New Roman" w:cs="Times New Roman"/>
                <w:bCs/>
                <w:color w:val="000000" w:themeColor="text1"/>
                <w:lang w:val="ro-RO"/>
              </w:rPr>
              <w:lastRenderedPageBreak/>
              <w:t>conformitatea acestora cu cerinţele operaţionale și cu cerinţele privind compoziţia rezervei de lichidităţi, astfel cum sunt prevăzute în respectivul titlu.</w:t>
            </w:r>
          </w:p>
        </w:tc>
        <w:tc>
          <w:tcPr>
            <w:tcW w:w="336" w:type="pct"/>
          </w:tcPr>
          <w:p w14:paraId="6518796E" w14:textId="660BD7ED" w:rsidR="004F4458" w:rsidRPr="003117B3" w:rsidRDefault="003D0BBB"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tc>
        <w:tc>
          <w:tcPr>
            <w:tcW w:w="1153" w:type="pct"/>
          </w:tcPr>
          <w:p w14:paraId="76F74FAB"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08B843BE"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07C4353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3D577DA"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428z</w:t>
            </w:r>
          </w:p>
          <w:p w14:paraId="7F63AF3F"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25 %</w:t>
            </w:r>
          </w:p>
          <w:p w14:paraId="387A379E" w14:textId="2E4707E9"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Securitizărilor de nivel 2B negrevate de sarcini în temeiul actului delegat menţionat la articolul 460 alineatul (1) li se aplică un factor de finanţare stabilă necesară de 25 %, indiferent de conformitatea acestora cu cerinţele operaţionale și cu cerinţele privind compoziţia rezervei de lichidităţi, astfel cum sunt prevăzute în respectivul act delegat.</w:t>
            </w:r>
          </w:p>
        </w:tc>
        <w:tc>
          <w:tcPr>
            <w:tcW w:w="1249" w:type="pct"/>
          </w:tcPr>
          <w:p w14:paraId="43B47AAB"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7DD2DCE4" w14:textId="5E85AD9E"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1D7110D0" w14:textId="4EA3B49F"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Este o prevedere aferentă securitizărilor. Prevederile aferente securitizărilor din Regulamentul 575/2013 nu au fost transpuse deoarece aceste instrumente lipsesc pe piața Republicii Moldova</w:t>
            </w:r>
            <w:r w:rsidR="00561B42" w:rsidRPr="003117B3">
              <w:rPr>
                <w:color w:val="000000" w:themeColor="text1"/>
                <w:lang w:val="ro-MD"/>
              </w:rPr>
              <w:t xml:space="preserve"> </w:t>
            </w:r>
            <w:r w:rsidR="00561B42" w:rsidRPr="003117B3">
              <w:rPr>
                <w:rFonts w:ascii="Times New Roman" w:hAnsi="Times New Roman" w:cs="Times New Roman"/>
                <w:color w:val="000000" w:themeColor="text1"/>
                <w:lang w:val="ro-MD"/>
              </w:rPr>
              <w:t>și nu sunt reglementate de cadrul primar</w:t>
            </w:r>
            <w:r w:rsidRPr="003117B3">
              <w:rPr>
                <w:rFonts w:ascii="Times New Roman" w:hAnsi="Times New Roman" w:cs="Times New Roman"/>
                <w:color w:val="000000" w:themeColor="text1"/>
                <w:lang w:val="ro-MD"/>
              </w:rPr>
              <w:t>.</w:t>
            </w:r>
          </w:p>
        </w:tc>
        <w:tc>
          <w:tcPr>
            <w:tcW w:w="674" w:type="pct"/>
          </w:tcPr>
          <w:p w14:paraId="159ECA51"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EB85B8A"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5FC87F0"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428aa</w:t>
            </w:r>
          </w:p>
          <w:p w14:paraId="33F7E41F"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30 %</w:t>
            </w:r>
          </w:p>
          <w:p w14:paraId="47F73C3F"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Următoarelor active li se aplică un factor de finanţare stabilă necesară de 30 %:</w:t>
            </w:r>
          </w:p>
          <w:p w14:paraId="72CF258F"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 obligaţiunile garantate negrevate de sarcini cu un nivel ridicat de calitate în temeiul actului delegat menţionat la articolul 460 alineatul (1), indiferent de conformitatea acestora cu cerinţele operaţionale și cu cerinţele privind compoziţia rezervei de </w:t>
            </w:r>
            <w:r w:rsidRPr="003117B3">
              <w:rPr>
                <w:rFonts w:ascii="Times New Roman" w:hAnsi="Times New Roman" w:cs="Times New Roman"/>
                <w:color w:val="000000" w:themeColor="text1"/>
                <w:lang w:val="it-IT"/>
              </w:rPr>
              <w:lastRenderedPageBreak/>
              <w:t>lichidităţi, astfel cum sunt prevăzute în respectivul act delegat;</w:t>
            </w:r>
          </w:p>
          <w:p w14:paraId="64CED4FD" w14:textId="0FE0D5A4"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acţiunile sau unităţile la OPC-uri negrevate de sarcini care sunt eligibile pentru o ajustare de 30 % pentru calculul indicatorului de acoperire a necesarului de lichiditate în conformitate cu actul delegat menţionat la articolul 460 alineatul (1), indiferent de conformitatea acestora cu cerinţele operaţionale și cu cerinţele privind compoziţia rezervei de lichidităţi, astfel cum sunt prevăzute în respectivul act delegat.</w:t>
            </w:r>
          </w:p>
        </w:tc>
        <w:tc>
          <w:tcPr>
            <w:tcW w:w="1249" w:type="pct"/>
          </w:tcPr>
          <w:p w14:paraId="6DCDE951"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0F7CA87D" w14:textId="6C421450"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3C5871CB" w14:textId="26A5FE88" w:rsidR="004F4458" w:rsidRPr="003117B3" w:rsidRDefault="004F4458" w:rsidP="003D0BBB">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Este o prevedere aferentă obligațiunilor garantate și </w:t>
            </w:r>
            <w:r w:rsidR="003D0BBB" w:rsidRPr="003117B3">
              <w:rPr>
                <w:rFonts w:ascii="Times New Roman" w:hAnsi="Times New Roman" w:cs="Times New Roman"/>
                <w:color w:val="000000" w:themeColor="text1"/>
                <w:lang w:val="ro-MD"/>
              </w:rPr>
              <w:t>acţiunilor sau unităţile la OPC-uri care au în calitate de active lichide suport securitizări</w:t>
            </w:r>
            <w:r w:rsidRPr="003117B3">
              <w:rPr>
                <w:rFonts w:ascii="Times New Roman" w:hAnsi="Times New Roman" w:cs="Times New Roman"/>
                <w:color w:val="000000" w:themeColor="text1"/>
                <w:lang w:val="ro-MD"/>
              </w:rPr>
              <w:t>. Prevederile aferente acestor instrumente din Regulamentul 575/2013 nu au fost transpuse, deoarece acestea lipsesc pe piața Republicii Moldova</w:t>
            </w:r>
            <w:r w:rsidR="00561B42" w:rsidRPr="003117B3">
              <w:rPr>
                <w:color w:val="000000" w:themeColor="text1"/>
                <w:lang w:val="ro-MD"/>
              </w:rPr>
              <w:t xml:space="preserve"> </w:t>
            </w:r>
            <w:r w:rsidR="00561B42" w:rsidRPr="003117B3">
              <w:rPr>
                <w:rFonts w:ascii="Times New Roman" w:hAnsi="Times New Roman" w:cs="Times New Roman"/>
                <w:color w:val="000000" w:themeColor="text1"/>
                <w:lang w:val="ro-MD"/>
              </w:rPr>
              <w:t>și nu sunt reglementate de cadrul primar.</w:t>
            </w:r>
          </w:p>
        </w:tc>
        <w:tc>
          <w:tcPr>
            <w:tcW w:w="674" w:type="pct"/>
          </w:tcPr>
          <w:p w14:paraId="28123CEF"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299A2639"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BF6D0B2"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428ab</w:t>
            </w:r>
          </w:p>
          <w:p w14:paraId="36B10BDD"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35 %</w:t>
            </w:r>
          </w:p>
          <w:p w14:paraId="0535F755"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Următoarelor active li se aplică un factor de finanţare stabilă necesară de 35 %:</w:t>
            </w:r>
          </w:p>
          <w:p w14:paraId="0078136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securitizările de nivel 2B negrevate de sarcini în temeiul actului delegat menţionat la articolul 460 alineatul (1), indiferent de conformitatea acestora cu cerinţele operaţionale și cu cerinţele privind compoziţia rezervei de lichidităţi, astfel cum sunt prevăzute în respectivul act delegat;</w:t>
            </w:r>
          </w:p>
          <w:p w14:paraId="5F3B06EF" w14:textId="198C6DE5"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(b) acţiunile sau unităţile la OPC-uri negrevate de sarcini care sunt eligibile pentru o ajustare de 35 % pentru calculul indicatorului de acoperire a necesarului de lichiditate în temeiul actului delegat </w:t>
            </w:r>
            <w:r w:rsidRPr="003117B3">
              <w:rPr>
                <w:rFonts w:ascii="Times New Roman" w:hAnsi="Times New Roman" w:cs="Times New Roman"/>
                <w:color w:val="000000" w:themeColor="text1"/>
                <w:lang w:val="it-IT"/>
              </w:rPr>
              <w:lastRenderedPageBreak/>
              <w:t>menţionat la articolul 460 alineatul (1), indiferent de conformitatea acestora cu cerinţele operaţionale și cu cerinţele privind compoziţia rezervei de lichidităţi, astfel cum sunt prevăzute în respectivul act delegat.</w:t>
            </w:r>
          </w:p>
        </w:tc>
        <w:tc>
          <w:tcPr>
            <w:tcW w:w="1249" w:type="pct"/>
          </w:tcPr>
          <w:p w14:paraId="7685D942"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07ECC266" w14:textId="5630AAB6"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20EA7BA1" w14:textId="7CF8329E" w:rsidR="004F4458" w:rsidRPr="003117B3" w:rsidRDefault="004F4458" w:rsidP="00177CE9">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Este o prevedere aferentă securitizărilor</w:t>
            </w:r>
            <w:r w:rsidR="00804D20" w:rsidRPr="003117B3">
              <w:rPr>
                <w:rFonts w:ascii="Times New Roman" w:hAnsi="Times New Roman" w:cs="Times New Roman"/>
                <w:color w:val="000000" w:themeColor="text1"/>
                <w:lang w:val="ro-MD"/>
              </w:rPr>
              <w:t xml:space="preserve"> și acţiunilor sau unităţile la OPC-uri care au în calitate de active lichide suport activele nepurtătoare de dobândă deținute de instituțiile de credit </w:t>
            </w:r>
            <w:r w:rsidR="00177CE9" w:rsidRPr="003117B3">
              <w:rPr>
                <w:rFonts w:ascii="Times New Roman" w:hAnsi="Times New Roman" w:cs="Times New Roman"/>
                <w:color w:val="000000" w:themeColor="text1"/>
                <w:lang w:val="ro-MD"/>
              </w:rPr>
              <w:t>islamice</w:t>
            </w:r>
            <w:r w:rsidRPr="003117B3">
              <w:rPr>
                <w:rFonts w:ascii="Times New Roman" w:hAnsi="Times New Roman" w:cs="Times New Roman"/>
                <w:color w:val="000000" w:themeColor="text1"/>
                <w:lang w:val="ro-MD"/>
              </w:rPr>
              <w:t>. Prevederile aferente acestor instrumente din Regulamentul 575/2013 nu au fost transpuse, deoarece acestea lipsesc pe piața Republicii Moldova</w:t>
            </w:r>
            <w:r w:rsidR="00561B42" w:rsidRPr="003117B3">
              <w:rPr>
                <w:color w:val="000000" w:themeColor="text1"/>
                <w:lang w:val="ro-MD"/>
              </w:rPr>
              <w:t xml:space="preserve"> </w:t>
            </w:r>
            <w:r w:rsidR="00561B42" w:rsidRPr="003117B3">
              <w:rPr>
                <w:rFonts w:ascii="Times New Roman" w:hAnsi="Times New Roman" w:cs="Times New Roman"/>
                <w:color w:val="000000" w:themeColor="text1"/>
                <w:lang w:val="ro-MD"/>
              </w:rPr>
              <w:t>și nu sunt reglementate de cadrul primar.</w:t>
            </w:r>
          </w:p>
        </w:tc>
        <w:tc>
          <w:tcPr>
            <w:tcW w:w="674" w:type="pct"/>
          </w:tcPr>
          <w:p w14:paraId="5E958848"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3A64EC5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1B6A7C6"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428ac</w:t>
            </w:r>
          </w:p>
          <w:p w14:paraId="574F0F33"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40 %</w:t>
            </w:r>
          </w:p>
          <w:p w14:paraId="5F5C8562" w14:textId="0F07012F"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Acţiunilor sau unităţilor la OPC-uri negrevate de sarcini care sunt eligibile pentru o ajustare de 40 % pentru calculul indicatorului de acoperire a necesarului de lichiditate în temeiul actului delegat menţionat la articolul 460 alineatul (1) li se aplică un factor de finanţare stabilă necesară de 40 %, indiferent de conformitatea acestora cu cerinţele operaţionale și cu cerinţele privind compoziţia rezervei de lichidităţi, astfel cum sunt prevăzute în respectivul act delegat.</w:t>
            </w:r>
          </w:p>
        </w:tc>
        <w:tc>
          <w:tcPr>
            <w:tcW w:w="1249" w:type="pct"/>
          </w:tcPr>
          <w:p w14:paraId="7B75E41A"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74BCC209" w14:textId="64F02EE3"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086CD892" w14:textId="339CBAB1"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Este o prevedere aferentă securitizărilor. Prevederile aferente securitizărilor din Regulamentul 575/2013 nu au fost transpuse deoarece aceste instrumente lipsesc pe piața Republicii Moldova</w:t>
            </w:r>
            <w:r w:rsidR="00561B42" w:rsidRPr="003117B3">
              <w:rPr>
                <w:color w:val="000000" w:themeColor="text1"/>
                <w:lang w:val="ro-MD"/>
              </w:rPr>
              <w:t xml:space="preserve"> </w:t>
            </w:r>
            <w:r w:rsidR="00561B42" w:rsidRPr="003117B3">
              <w:rPr>
                <w:rFonts w:ascii="Times New Roman" w:hAnsi="Times New Roman" w:cs="Times New Roman"/>
                <w:color w:val="000000" w:themeColor="text1"/>
                <w:lang w:val="ro-MD"/>
              </w:rPr>
              <w:t>și nu sunt reglementate de cadrul primar</w:t>
            </w:r>
            <w:r w:rsidRPr="003117B3">
              <w:rPr>
                <w:rFonts w:ascii="Times New Roman" w:hAnsi="Times New Roman" w:cs="Times New Roman"/>
                <w:color w:val="000000" w:themeColor="text1"/>
                <w:lang w:val="ro-MD"/>
              </w:rPr>
              <w:t>.</w:t>
            </w:r>
          </w:p>
        </w:tc>
        <w:tc>
          <w:tcPr>
            <w:tcW w:w="674" w:type="pct"/>
          </w:tcPr>
          <w:p w14:paraId="52BD11E9"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6AB25395"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BBED2E8"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428ad</w:t>
            </w:r>
          </w:p>
          <w:p w14:paraId="72ADF3DF"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50 %</w:t>
            </w:r>
          </w:p>
          <w:p w14:paraId="1671AE9F"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Următoarelor active li se aplică un factor de finanţare stabilă necesară de 50 %:</w:t>
            </w:r>
          </w:p>
          <w:p w14:paraId="2244BFF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(a) activele negrevate de sarcini care sunt eligibile drept active de nivel 2B în temeiul actului delegat menţionat la articolul 460 alineatul (1), cu excepţia securitizărilor de nivel 2B și a obligaţiunilor </w:t>
            </w:r>
            <w:r w:rsidRPr="003117B3">
              <w:rPr>
                <w:rFonts w:ascii="Times New Roman" w:hAnsi="Times New Roman" w:cs="Times New Roman"/>
                <w:color w:val="000000" w:themeColor="text1"/>
                <w:lang w:val="it-IT"/>
              </w:rPr>
              <w:lastRenderedPageBreak/>
              <w:t>garantate cu un nivel extrem de ridicat de calitate în temeiul respectivului act delegat, indiferent de conformitatea acestora cu cerinţele operaţionale și cu cerinţele privind compoziţia rezervei de lichidităţi, astfel cum sunt prevăzute în respectivul act delegat;</w:t>
            </w:r>
          </w:p>
          <w:p w14:paraId="42841A2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depozitele deţinute de instituţie la o altă instituţie financiară care îndeplinesc criteriile pentru depozitele operaţionale prevăzute în actul delegat menţionat la articolul 460 alineatul (1);</w:t>
            </w:r>
          </w:p>
          <w:p w14:paraId="60ED0ED5"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 sumele datorate din tranzacţii cu o scadenţă reziduală mai mică de un an cu:</w:t>
            </w:r>
          </w:p>
          <w:p w14:paraId="015EDD18"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administraţia centrală a unui stat membru sau a unei ţări terţe;</w:t>
            </w:r>
          </w:p>
          <w:p w14:paraId="19E72444"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administraţia regională sau autorităţile locale dintr-un stat membru sau dintr-o ţară terţă;</w:t>
            </w:r>
          </w:p>
          <w:p w14:paraId="55FEE6EE"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(iii) entităţile din sectorul public dintr-un stat membru sau dintr-o ţară terţă;</w:t>
            </w:r>
          </w:p>
          <w:p w14:paraId="2EEE2269"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(iv) băncile multilaterale de dezvoltare menţionate la articolul 117 alineatul (2) și organizaţiile internaţionale menţionate la articolul 118;</w:t>
            </w:r>
          </w:p>
          <w:p w14:paraId="00AAE9D8"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(v) societăţi nefinanciare, clienţi de retail și IMM-uri;</w:t>
            </w:r>
          </w:p>
          <w:p w14:paraId="37D9B2D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(vi) cooperativele de credit autorizate de către o autoritate competentă, societăţile pentru investiţii </w:t>
            </w:r>
            <w:r w:rsidRPr="003117B3">
              <w:rPr>
                <w:rFonts w:ascii="Times New Roman" w:hAnsi="Times New Roman" w:cs="Times New Roman"/>
                <w:color w:val="000000" w:themeColor="text1"/>
                <w:lang w:val="it-IT"/>
              </w:rPr>
              <w:lastRenderedPageBreak/>
              <w:t>personale și clienţii care sunt brokeri de depozite, în măsura în care activele respective nu se încadrează la prezentul alineat litera (b);</w:t>
            </w:r>
          </w:p>
          <w:p w14:paraId="35AE1AB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 sumele datorate din tranzacţii cu o scadenţă reziduală de cel puţin șase luni, dar mai puţin de un an cu:</w:t>
            </w:r>
          </w:p>
          <w:p w14:paraId="7343265B"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 Banca Centrală Europeană sau banca centrală a unui stat membru;</w:t>
            </w:r>
          </w:p>
          <w:p w14:paraId="72236F63"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 banca centrală a unei ţări terţe;</w:t>
            </w:r>
          </w:p>
          <w:p w14:paraId="54750C65"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(iii) clienţii financiari;</w:t>
            </w:r>
          </w:p>
          <w:p w14:paraId="29695A08"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(e) produsele din bilanţ aferente finanţării comerţului cu o scadenţă reziduală de cel puţin șase luni, dar mai mică de un an;</w:t>
            </w:r>
          </w:p>
          <w:p w14:paraId="49AFA87E"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(f) activele grevate de sarcini pentru o scadenţă reziduală de cel puţin șase luni, dar mai mică de un an, cu excepţia cazului în care acestor active li s-ar atribui un factor mai mare de finanţare stabilă necesară în conformitate cu articolele 428ae-428ah dacă acestea ar fi negrevate de sarcini, caz în care se aplică factorul de finanţare stabilă necesară mai mare care s-ar aplica activelor respective dacă acestea ar fi negrevate de sarcini;</w:t>
            </w:r>
          </w:p>
          <w:p w14:paraId="7CB792B2" w14:textId="72DFBD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(g) orice alt activ cu o scadenţă reziduală mai mică de un an, cu excepţia cazului în care se specifică altfel la articolele 428r-428ac.</w:t>
            </w:r>
          </w:p>
        </w:tc>
        <w:tc>
          <w:tcPr>
            <w:tcW w:w="1249" w:type="pct"/>
          </w:tcPr>
          <w:p w14:paraId="465D3DD8" w14:textId="7C256571"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lastRenderedPageBreak/>
              <w:t xml:space="preserve">Subsecțiunea 7. Factorul de finanţare stabilă necesară de 50 % </w:t>
            </w:r>
          </w:p>
          <w:p w14:paraId="021A5254" w14:textId="601C4108" w:rsidR="004F4458" w:rsidRPr="003117B3" w:rsidRDefault="008F2E54"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67</w:t>
            </w:r>
            <w:r w:rsidR="004F4458" w:rsidRPr="003117B3">
              <w:rPr>
                <w:rFonts w:ascii="Times New Roman" w:eastAsia="Arial Unicode MS" w:hAnsi="Times New Roman" w:cs="Times New Roman"/>
                <w:bCs/>
                <w:color w:val="000000" w:themeColor="text1"/>
                <w:lang w:val="ro-RO"/>
              </w:rPr>
              <w:t>. Următoarelor active li se aplică un factor de finanţare stabilă necesară de 50 %:</w:t>
            </w:r>
          </w:p>
          <w:p w14:paraId="46D4FF3C"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activele negrevate de sarcini care sunt eligibile drept active de nivel 2B în temeiul capitolului II din titlul II, </w:t>
            </w:r>
            <w:r w:rsidRPr="003117B3">
              <w:rPr>
                <w:rFonts w:ascii="Times New Roman" w:eastAsia="Arial Unicode MS" w:hAnsi="Times New Roman" w:cs="Times New Roman"/>
                <w:bCs/>
                <w:color w:val="000000" w:themeColor="text1"/>
                <w:lang w:val="ro-RO"/>
              </w:rPr>
              <w:lastRenderedPageBreak/>
              <w:t>indiferent de conformitatea acestora cu cerinţele operaţionale și cu cerinţele privind compoziţia rezervei de lichidităţi, astfel cum sunt prevăzute în respectivul titlu;</w:t>
            </w:r>
          </w:p>
          <w:p w14:paraId="74508CC5"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2) depozitele deţinute de bancă la o altă instituţie financiară care îndeplinesc criteriile pentru depozitele operaţionale prevăzute în capitolului III din titlul II;</w:t>
            </w:r>
          </w:p>
          <w:p w14:paraId="51354898"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3) sumele datorate din tranzacţii cu o scadenţă reziduală mai mică de un an cu:</w:t>
            </w:r>
          </w:p>
          <w:p w14:paraId="042EBFC5"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a) administraţia publică centrală a Republicii Moldova sau administrația centrală a unui alt stat;</w:t>
            </w:r>
          </w:p>
          <w:p w14:paraId="107FA629"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b) administraţia regională sau autorităţile locale din Republica Moldova sau dintr-un alt stat;</w:t>
            </w:r>
          </w:p>
          <w:p w14:paraId="0C163236"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c) entităţile din sectorul public dintr-un alt stat;</w:t>
            </w:r>
          </w:p>
          <w:p w14:paraId="4A9107C0"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d) băncile de dezvoltare multilaterală menţionate la secțiunea 4, capitolul IV din Regulamentul nr.111/2018 și organizaţiile internaţionale menţionate </w:t>
            </w:r>
            <w:r w:rsidRPr="003117B3">
              <w:rPr>
                <w:rFonts w:ascii="Times New Roman" w:eastAsia="Arial Unicode MS" w:hAnsi="Times New Roman" w:cs="Times New Roman"/>
                <w:bCs/>
                <w:color w:val="000000" w:themeColor="text1"/>
                <w:lang w:val="ro-RO"/>
              </w:rPr>
              <w:lastRenderedPageBreak/>
              <w:t>la secțiunea 5, capitolul IV din Regulamentul nr.111/2018;</w:t>
            </w:r>
          </w:p>
          <w:p w14:paraId="38E32B30" w14:textId="0D97DB55"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e) societăţi nefinanciare, clienţi retail și IMM-uri;</w:t>
            </w:r>
          </w:p>
          <w:p w14:paraId="7DFCB37D"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f) societăţile pentru investiţii personale și clienţii care sunt brokeri de depozite, în măsura în care activele respective nu se încadrează la subpct.2);</w:t>
            </w:r>
          </w:p>
          <w:p w14:paraId="627EC78E"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4) sumele datorate din tranzacţii cu o scadenţă reziduală de cel puţin șase luni, dar mai puţin de un an cu:</w:t>
            </w:r>
          </w:p>
          <w:p w14:paraId="34BA8A3F" w14:textId="15C60A72"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a) BNM</w:t>
            </w:r>
            <w:r w:rsidR="00A52DA1" w:rsidRPr="003117B3">
              <w:rPr>
                <w:rFonts w:ascii="Times New Roman" w:eastAsia="Arial Unicode MS" w:hAnsi="Times New Roman" w:cs="Times New Roman"/>
                <w:bCs/>
                <w:color w:val="000000" w:themeColor="text1"/>
                <w:lang w:val="ro-RO"/>
              </w:rPr>
              <w:t xml:space="preserve"> sau</w:t>
            </w:r>
            <w:r w:rsidRPr="003117B3">
              <w:rPr>
                <w:rFonts w:ascii="Times New Roman" w:eastAsia="Arial Unicode MS" w:hAnsi="Times New Roman" w:cs="Times New Roman"/>
                <w:bCs/>
                <w:color w:val="000000" w:themeColor="text1"/>
                <w:lang w:val="ro-RO"/>
              </w:rPr>
              <w:t xml:space="preserve"> </w:t>
            </w:r>
            <w:r w:rsidR="008F2E54" w:rsidRPr="003117B3">
              <w:rPr>
                <w:rFonts w:ascii="Times New Roman" w:eastAsia="Arial Unicode MS" w:hAnsi="Times New Roman" w:cs="Times New Roman"/>
                <w:bCs/>
                <w:color w:val="000000" w:themeColor="text1"/>
                <w:lang w:val="ro-RO"/>
              </w:rPr>
              <w:t>BCE</w:t>
            </w:r>
            <w:r w:rsidRPr="003117B3">
              <w:rPr>
                <w:rFonts w:ascii="Times New Roman" w:eastAsia="Arial Unicode MS" w:hAnsi="Times New Roman" w:cs="Times New Roman"/>
                <w:bCs/>
                <w:color w:val="000000" w:themeColor="text1"/>
                <w:lang w:val="ro-RO"/>
              </w:rPr>
              <w:t>;</w:t>
            </w:r>
          </w:p>
          <w:p w14:paraId="73566FCC"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b) banca centrală a unui alt stat;</w:t>
            </w:r>
          </w:p>
          <w:p w14:paraId="560BC7F0"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c) clienţii financiari;</w:t>
            </w:r>
          </w:p>
          <w:p w14:paraId="1D023282"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5) produsele din bilanţ aferente finanţării comerţului cu o scadenţă reziduală de cel puţin șase luni, dar mai mică de un an;</w:t>
            </w:r>
          </w:p>
          <w:p w14:paraId="7858636A" w14:textId="3C5F226A"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6) activele grevate de sarcini pentru o scadenţă reziduală de cel puţin șase luni, dar mai mică de un an, cu excepţia cazului în care acestor active li s-ar atribui un factor mai mare de finanţare stabilă necesară în conformitate cu </w:t>
            </w:r>
            <w:r w:rsidR="00A52DA1" w:rsidRPr="003117B3">
              <w:rPr>
                <w:rFonts w:ascii="Times New Roman" w:eastAsia="Arial Unicode MS" w:hAnsi="Times New Roman" w:cs="Times New Roman"/>
                <w:bCs/>
                <w:color w:val="000000" w:themeColor="text1"/>
                <w:lang w:val="ro-RO"/>
              </w:rPr>
              <w:t>pct.</w:t>
            </w:r>
            <w:r w:rsidR="008F2E54" w:rsidRPr="003117B3">
              <w:rPr>
                <w:rFonts w:ascii="Times New Roman" w:eastAsia="Arial Unicode MS" w:hAnsi="Times New Roman" w:cs="Times New Roman"/>
                <w:bCs/>
                <w:color w:val="000000" w:themeColor="text1"/>
                <w:lang w:val="ro-RO"/>
              </w:rPr>
              <w:t xml:space="preserve"> 109</w:t>
            </w:r>
            <w:r w:rsidR="008F2E54" w:rsidRPr="003117B3">
              <w:rPr>
                <w:rFonts w:ascii="Times New Roman" w:eastAsia="Arial Unicode MS" w:hAnsi="Times New Roman" w:cs="Times New Roman"/>
                <w:bCs/>
                <w:color w:val="000000" w:themeColor="text1"/>
                <w:vertAlign w:val="superscript"/>
                <w:lang w:val="ro-RO"/>
              </w:rPr>
              <w:t>68</w:t>
            </w:r>
            <w:r w:rsidR="008F2E54" w:rsidRPr="003117B3">
              <w:rPr>
                <w:rFonts w:ascii="Times New Roman" w:eastAsia="Arial Unicode MS" w:hAnsi="Times New Roman" w:cs="Times New Roman"/>
                <w:bCs/>
                <w:color w:val="000000" w:themeColor="text1"/>
                <w:lang w:val="ro-RO"/>
              </w:rPr>
              <w:t>-109</w:t>
            </w:r>
            <w:r w:rsidR="008F2E54" w:rsidRPr="003117B3">
              <w:rPr>
                <w:rFonts w:ascii="Times New Roman" w:eastAsia="Arial Unicode MS" w:hAnsi="Times New Roman" w:cs="Times New Roman"/>
                <w:bCs/>
                <w:color w:val="000000" w:themeColor="text1"/>
                <w:vertAlign w:val="superscript"/>
                <w:lang w:val="ro-RO"/>
              </w:rPr>
              <w:t>73</w:t>
            </w:r>
            <w:r w:rsidR="008F2E54" w:rsidRPr="003117B3">
              <w:rPr>
                <w:rFonts w:ascii="Times New Roman" w:eastAsia="Arial Unicode MS" w:hAnsi="Times New Roman" w:cs="Times New Roman"/>
                <w:bCs/>
                <w:color w:val="000000" w:themeColor="text1"/>
                <w:lang w:val="ro-RO"/>
              </w:rPr>
              <w:t xml:space="preserve"> </w:t>
            </w:r>
            <w:r w:rsidR="008F2E54" w:rsidRPr="003117B3">
              <w:rPr>
                <w:rFonts w:ascii="Times New Roman" w:eastAsia="Arial Unicode MS" w:hAnsi="Times New Roman" w:cs="Times New Roman"/>
                <w:bCs/>
                <w:color w:val="000000" w:themeColor="text1"/>
                <w:sz w:val="24"/>
                <w:szCs w:val="24"/>
                <w:lang w:val="ro-RO"/>
              </w:rPr>
              <w:t xml:space="preserve"> </w:t>
            </w:r>
            <w:r w:rsidRPr="003117B3">
              <w:rPr>
                <w:rFonts w:ascii="Times New Roman" w:eastAsia="Arial Unicode MS" w:hAnsi="Times New Roman" w:cs="Times New Roman"/>
                <w:bCs/>
                <w:color w:val="000000" w:themeColor="text1"/>
                <w:lang w:val="ro-RO"/>
              </w:rPr>
              <w:t xml:space="preserve">dacă </w:t>
            </w:r>
            <w:r w:rsidRPr="003117B3">
              <w:rPr>
                <w:rFonts w:ascii="Times New Roman" w:eastAsia="Arial Unicode MS" w:hAnsi="Times New Roman" w:cs="Times New Roman"/>
                <w:bCs/>
                <w:color w:val="000000" w:themeColor="text1"/>
                <w:lang w:val="ro-RO"/>
              </w:rPr>
              <w:lastRenderedPageBreak/>
              <w:t>acestea ar fi negrevate de sarcini, caz în care se aplică factorul de finanţare stabilă necesară mai mare care s-ar aplica activelor respective dacă acestea ar fi negrevate de sarcini;</w:t>
            </w:r>
          </w:p>
          <w:p w14:paraId="2983A4E3" w14:textId="4C8C7765" w:rsidR="004F4458" w:rsidRPr="003117B3" w:rsidRDefault="004F4458" w:rsidP="00102CE1">
            <w:pPr>
              <w:spacing w:after="0" w:line="276" w:lineRule="auto"/>
              <w:rPr>
                <w:rFonts w:ascii="Times New Roman" w:hAnsi="Times New Roman" w:cs="Times New Roman"/>
                <w:color w:val="000000" w:themeColor="text1"/>
                <w:lang w:val="ro-MD"/>
              </w:rPr>
            </w:pPr>
            <w:r w:rsidRPr="003117B3">
              <w:rPr>
                <w:rFonts w:ascii="Times New Roman" w:eastAsia="Arial Unicode MS" w:hAnsi="Times New Roman" w:cs="Times New Roman"/>
                <w:bCs/>
                <w:color w:val="000000" w:themeColor="text1"/>
                <w:lang w:val="ro-RO"/>
              </w:rPr>
              <w:t xml:space="preserve">7) orice alt activ cu o scadenţă reziduală mai mică de un an, cu excepţia cazului în care se specifică altfel la </w:t>
            </w:r>
            <w:r w:rsidR="00102CE1" w:rsidRPr="003117B3">
              <w:rPr>
                <w:rFonts w:ascii="Times New Roman" w:eastAsia="Arial Unicode MS" w:hAnsi="Times New Roman" w:cs="Times New Roman"/>
                <w:bCs/>
                <w:color w:val="000000" w:themeColor="text1"/>
                <w:lang w:val="ro-RO"/>
              </w:rPr>
              <w:t>pct.</w:t>
            </w:r>
            <w:r w:rsidR="008F2E54" w:rsidRPr="003117B3">
              <w:rPr>
                <w:rFonts w:ascii="Times New Roman" w:eastAsia="Arial Unicode MS" w:hAnsi="Times New Roman" w:cs="Times New Roman"/>
                <w:bCs/>
                <w:color w:val="000000" w:themeColor="text1"/>
                <w:lang w:val="ro-RO"/>
              </w:rPr>
              <w:t xml:space="preserve"> 109</w:t>
            </w:r>
            <w:r w:rsidR="008F2E54" w:rsidRPr="003117B3">
              <w:rPr>
                <w:rFonts w:ascii="Times New Roman" w:eastAsia="Arial Unicode MS" w:hAnsi="Times New Roman" w:cs="Times New Roman"/>
                <w:bCs/>
                <w:color w:val="000000" w:themeColor="text1"/>
                <w:vertAlign w:val="superscript"/>
                <w:lang w:val="ro-RO"/>
              </w:rPr>
              <w:t>56</w:t>
            </w:r>
            <w:r w:rsidR="008F2E54" w:rsidRPr="003117B3">
              <w:rPr>
                <w:rFonts w:ascii="Times New Roman" w:eastAsia="Arial Unicode MS" w:hAnsi="Times New Roman" w:cs="Times New Roman"/>
                <w:bCs/>
                <w:color w:val="000000" w:themeColor="text1"/>
                <w:lang w:val="ro-RO"/>
              </w:rPr>
              <w:t>-109</w:t>
            </w:r>
            <w:r w:rsidR="008F2E54" w:rsidRPr="003117B3">
              <w:rPr>
                <w:rFonts w:ascii="Times New Roman" w:eastAsia="Arial Unicode MS" w:hAnsi="Times New Roman" w:cs="Times New Roman"/>
                <w:bCs/>
                <w:color w:val="000000" w:themeColor="text1"/>
                <w:vertAlign w:val="superscript"/>
                <w:lang w:val="ro-RO"/>
              </w:rPr>
              <w:t>66</w:t>
            </w:r>
            <w:r w:rsidR="0024571F" w:rsidRPr="003117B3">
              <w:rPr>
                <w:rFonts w:ascii="Times New Roman" w:eastAsia="Arial Unicode MS" w:hAnsi="Times New Roman" w:cs="Times New Roman"/>
                <w:bCs/>
                <w:strike/>
                <w:color w:val="000000" w:themeColor="text1"/>
                <w:vertAlign w:val="superscript"/>
                <w:lang w:val="ro-RO"/>
              </w:rPr>
              <w:t xml:space="preserve"> </w:t>
            </w:r>
            <w:r w:rsidR="00102CE1" w:rsidRPr="003117B3">
              <w:rPr>
                <w:rFonts w:ascii="Times New Roman" w:eastAsia="Arial Unicode MS" w:hAnsi="Times New Roman" w:cs="Times New Roman"/>
                <w:bCs/>
                <w:color w:val="000000" w:themeColor="text1"/>
                <w:lang w:val="ro-RO"/>
              </w:rPr>
              <w:t>.</w:t>
            </w:r>
          </w:p>
        </w:tc>
        <w:tc>
          <w:tcPr>
            <w:tcW w:w="336" w:type="pct"/>
          </w:tcPr>
          <w:p w14:paraId="3A59536F" w14:textId="772B7ADC" w:rsidR="004F4458" w:rsidRPr="003117B3" w:rsidRDefault="00ED034A"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Parțial compatibil</w:t>
            </w:r>
          </w:p>
        </w:tc>
        <w:tc>
          <w:tcPr>
            <w:tcW w:w="1153" w:type="pct"/>
          </w:tcPr>
          <w:p w14:paraId="0FE2A14B" w14:textId="3D4A0C12" w:rsidR="004F4458" w:rsidRPr="003117B3" w:rsidRDefault="00ED034A" w:rsidP="00ED034A">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aferente cooperativelor de credit de la lit.(c) subpct.(vi) nu au fost transpuse deoarece aceste instituții lipsesc pe piața Republicii Moldova</w:t>
            </w:r>
            <w:r w:rsidR="00526E92" w:rsidRPr="003117B3">
              <w:rPr>
                <w:rFonts w:ascii="Times New Roman" w:hAnsi="Times New Roman" w:cs="Times New Roman"/>
                <w:color w:val="000000" w:themeColor="text1"/>
                <w:lang w:val="ro-MD"/>
              </w:rPr>
              <w:t xml:space="preserve"> și nu sunt reglementate de legislația primară</w:t>
            </w:r>
            <w:r w:rsidRPr="003117B3">
              <w:rPr>
                <w:rFonts w:ascii="Times New Roman" w:hAnsi="Times New Roman" w:cs="Times New Roman"/>
                <w:color w:val="000000" w:themeColor="text1"/>
                <w:lang w:val="ro-MD"/>
              </w:rPr>
              <w:t>.</w:t>
            </w:r>
          </w:p>
        </w:tc>
        <w:tc>
          <w:tcPr>
            <w:tcW w:w="674" w:type="pct"/>
          </w:tcPr>
          <w:p w14:paraId="0452772B"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67691F2C"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EC03D2C"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lastRenderedPageBreak/>
              <w:t>Articolul 428ae</w:t>
            </w:r>
          </w:p>
          <w:p w14:paraId="5FF7A935"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55 %</w:t>
            </w:r>
          </w:p>
          <w:p w14:paraId="13C66C66" w14:textId="3B234992"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Acţiunilor sau unităţilor la OPC-uri negrevate de sarcini care sunt eligibile pentru o ajustare de 55 % pentru calculul indicatorului de acoperire a necesarului de lichiditate în conformitate cu actul delegat menţionat la articolul 460 alineatul (1) li se aplică un factor de finanţare stabilă necesară de 55 %, indiferent de conformitatea acestora cu cerinţele operaţionale și cu cerinţele privind compoziţia rezervei de lichidităţi, astfel cum sunt prevăzute în respectivul act delegat.</w:t>
            </w:r>
          </w:p>
        </w:tc>
        <w:tc>
          <w:tcPr>
            <w:tcW w:w="1249" w:type="pct"/>
          </w:tcPr>
          <w:p w14:paraId="13E14174" w14:textId="24AC2C1F"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8. Factorul de finanţare stabilă necesară de 55 % </w:t>
            </w:r>
          </w:p>
          <w:p w14:paraId="3E393473" w14:textId="698B8497" w:rsidR="004F4458" w:rsidRPr="003117B3" w:rsidRDefault="008F2E54" w:rsidP="00345A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68</w:t>
            </w:r>
            <w:r w:rsidR="004F4458" w:rsidRPr="003117B3">
              <w:rPr>
                <w:rFonts w:ascii="Times New Roman" w:eastAsia="Arial Unicode MS" w:hAnsi="Times New Roman" w:cs="Times New Roman"/>
                <w:bCs/>
                <w:color w:val="000000" w:themeColor="text1"/>
                <w:lang w:val="ro-RO"/>
              </w:rPr>
              <w:t xml:space="preserve">. Acţiunilor sau unităţilor </w:t>
            </w:r>
            <w:r w:rsidR="00645F0A" w:rsidRPr="003117B3">
              <w:rPr>
                <w:rFonts w:ascii="Times New Roman" w:eastAsia="Arial Unicode MS" w:hAnsi="Times New Roman" w:cs="Times New Roman"/>
                <w:bCs/>
                <w:color w:val="000000" w:themeColor="text1"/>
                <w:lang w:val="ro-RO"/>
              </w:rPr>
              <w:t xml:space="preserve">deținute în </w:t>
            </w:r>
            <w:r w:rsidR="004F4458" w:rsidRPr="003117B3">
              <w:rPr>
                <w:rFonts w:ascii="Times New Roman" w:eastAsia="Arial Unicode MS" w:hAnsi="Times New Roman" w:cs="Times New Roman"/>
                <w:bCs/>
                <w:color w:val="000000" w:themeColor="text1"/>
                <w:lang w:val="ro-RO"/>
              </w:rPr>
              <w:t>OPC-uri negrevate de sarcini care sunt eligibile pentru o ajustare de 55 % pentru calculul indicatorului de acoperire a necesarului de lichiditate în conformitate cu capitolul II, titlul II li se aplică un factor de finanţare stabilă necesară de 55 %, indiferent de conformitatea acestora cu cerinţele operaţionale și cu cerinţele privind compoziţia rezervei de lichidităţi, astfel cum sunt prevăzute în respectivul titlu.</w:t>
            </w:r>
          </w:p>
        </w:tc>
        <w:tc>
          <w:tcPr>
            <w:tcW w:w="336" w:type="pct"/>
          </w:tcPr>
          <w:p w14:paraId="339DE221" w14:textId="68C91FBE" w:rsidR="004F4458" w:rsidRPr="003117B3" w:rsidRDefault="00FD488A"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4AF8CC93"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45CD1345"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6C370FA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B2B02C5" w14:textId="77777777" w:rsidR="004F4458" w:rsidRPr="003117B3" w:rsidRDefault="004F4458" w:rsidP="004F4458">
            <w:pPr>
              <w:spacing w:after="0" w:line="276" w:lineRule="auto"/>
              <w:jc w:val="both"/>
              <w:rPr>
                <w:rFonts w:ascii="Times New Roman" w:hAnsi="Times New Roman" w:cs="Times New Roman"/>
                <w:b/>
                <w:color w:val="000000" w:themeColor="text1"/>
              </w:rPr>
            </w:pPr>
            <w:r w:rsidRPr="003117B3">
              <w:rPr>
                <w:rFonts w:ascii="Times New Roman" w:hAnsi="Times New Roman" w:cs="Times New Roman"/>
                <w:b/>
                <w:color w:val="000000" w:themeColor="text1"/>
              </w:rPr>
              <w:lastRenderedPageBreak/>
              <w:t>Articolul 428af</w:t>
            </w:r>
          </w:p>
          <w:p w14:paraId="4C160EB1" w14:textId="77777777" w:rsidR="004F4458" w:rsidRPr="003117B3" w:rsidRDefault="004F4458" w:rsidP="004F4458">
            <w:pPr>
              <w:spacing w:after="0" w:line="276" w:lineRule="auto"/>
              <w:jc w:val="both"/>
              <w:rPr>
                <w:rFonts w:ascii="Times New Roman" w:hAnsi="Times New Roman" w:cs="Times New Roman"/>
                <w:b/>
                <w:color w:val="000000" w:themeColor="text1"/>
              </w:rPr>
            </w:pPr>
            <w:r w:rsidRPr="003117B3">
              <w:rPr>
                <w:rFonts w:ascii="Times New Roman" w:hAnsi="Times New Roman" w:cs="Times New Roman"/>
                <w:b/>
                <w:color w:val="000000" w:themeColor="text1"/>
              </w:rPr>
              <w:t>Factorul de finanţare stabilă necesară de 65 %</w:t>
            </w:r>
          </w:p>
          <w:p w14:paraId="0F8C2DA4" w14:textId="59A907A2"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 xml:space="preserve">Următoarelor active li se aplică un factor de finanţare stabilă necesară de 65 %: </w:t>
            </w:r>
          </w:p>
          <w:p w14:paraId="045BD419"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împrumuturile negrevate de sarcini garantate cu ipoteci asupra bunurilor imobile locative sau împrumuturile locative negrevate de sarcini garantate integral de un furnizor de protecţie eligibil menţionat la articolul 129 alineatul (1) litera (e) cu o scadenţă reziduală de cel puţin un an, cu condiţia ca aceste împrumuturi să primească o pondere de risc de maximum 35 % în conformitate cu partea a treia titlul II capitolul 2;</w:t>
            </w:r>
          </w:p>
          <w:p w14:paraId="16E7ACE3" w14:textId="51E4749C"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împrumuturile negrevate de sarcini cu o scadenţă reziduală de cel puţin un an, cu excepţia împrumuturilor acordate clienţilor financiari și a împrumuturilor menţionate la articolele 428r-428ad, cu condiţia ca aceste împrumuturi să primească o pondere de risc de maximum 35 % în conformitate cu partea a treia titlul II capitolul 2.</w:t>
            </w:r>
          </w:p>
        </w:tc>
        <w:tc>
          <w:tcPr>
            <w:tcW w:w="1249" w:type="pct"/>
          </w:tcPr>
          <w:p w14:paraId="0F4DA2A9" w14:textId="6C024CE3"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9. Factorul de finanţare stabilă necesară de 65 % </w:t>
            </w:r>
          </w:p>
          <w:p w14:paraId="3065EA2A" w14:textId="4AA8FC2B" w:rsidR="004F4458" w:rsidRPr="003117B3" w:rsidRDefault="00E11CE0"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lang w:val="ro-RO"/>
              </w:rPr>
              <w:t>109</w:t>
            </w:r>
            <w:r w:rsidRPr="003117B3">
              <w:rPr>
                <w:rFonts w:ascii="Times New Roman" w:eastAsia="Arial Unicode MS" w:hAnsi="Times New Roman" w:cs="Times New Roman"/>
                <w:b/>
                <w:bCs/>
                <w:color w:val="000000" w:themeColor="text1"/>
                <w:vertAlign w:val="superscript"/>
                <w:lang w:val="ro-RO"/>
              </w:rPr>
              <w:t>69</w:t>
            </w:r>
            <w:r w:rsidR="004F4458" w:rsidRPr="003117B3">
              <w:rPr>
                <w:rFonts w:ascii="Times New Roman" w:eastAsia="Arial Unicode MS" w:hAnsi="Times New Roman" w:cs="Times New Roman"/>
                <w:bCs/>
                <w:color w:val="000000" w:themeColor="text1"/>
                <w:lang w:val="ro-RO"/>
              </w:rPr>
              <w:t xml:space="preserve">. Următoarelor active li se aplică un factor de finanţare stabilă necesară de 65 %: </w:t>
            </w:r>
          </w:p>
          <w:p w14:paraId="50D50CA5" w14:textId="03AB7DC5" w:rsidR="004F4458" w:rsidRPr="003117B3" w:rsidRDefault="004F4458" w:rsidP="00DF5486">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împrumuturile negrevate de sarcini garantate cu ipoteci asupra bunurilor imobile locative sau împrumuturile locative negrevate de sarcini garantate integral de un furnizor de protecţie eligibil menţionat la </w:t>
            </w:r>
            <w:r w:rsidR="00DF5486" w:rsidRPr="003117B3">
              <w:rPr>
                <w:rFonts w:ascii="Times New Roman" w:eastAsia="Arial Unicode MS" w:hAnsi="Times New Roman" w:cs="Times New Roman"/>
                <w:bCs/>
                <w:color w:val="000000" w:themeColor="text1"/>
                <w:lang w:val="ro-RO"/>
              </w:rPr>
              <w:t>pct.36 din Regulamentul nr.11</w:t>
            </w:r>
            <w:r w:rsidR="009B2C76" w:rsidRPr="003117B3">
              <w:rPr>
                <w:rFonts w:ascii="Times New Roman" w:eastAsia="Arial Unicode MS" w:hAnsi="Times New Roman" w:cs="Times New Roman"/>
                <w:bCs/>
                <w:color w:val="000000" w:themeColor="text1"/>
                <w:lang w:val="ro-RO"/>
              </w:rPr>
              <w:t xml:space="preserve">2/2018 </w:t>
            </w:r>
            <w:r w:rsidRPr="003117B3">
              <w:rPr>
                <w:rFonts w:ascii="Times New Roman" w:eastAsia="Arial Unicode MS" w:hAnsi="Times New Roman" w:cs="Times New Roman"/>
                <w:bCs/>
                <w:color w:val="000000" w:themeColor="text1"/>
                <w:lang w:val="ro-RO"/>
              </w:rPr>
              <w:t xml:space="preserve">cu o scadenţă reziduală de cel puţin un an, cu condiţia ca aceste împrumuturi să primească o pondere de risc de maximum </w:t>
            </w:r>
            <w:r w:rsidR="00277A5B" w:rsidRPr="003117B3">
              <w:rPr>
                <w:rFonts w:ascii="Times New Roman" w:eastAsia="Arial Unicode MS" w:hAnsi="Times New Roman" w:cs="Times New Roman"/>
                <w:bCs/>
                <w:color w:val="000000" w:themeColor="text1"/>
                <w:lang w:val="ro-RO"/>
              </w:rPr>
              <w:t>50</w:t>
            </w:r>
            <w:r w:rsidRPr="003117B3">
              <w:rPr>
                <w:rFonts w:ascii="Times New Roman" w:eastAsia="Arial Unicode MS" w:hAnsi="Times New Roman" w:cs="Times New Roman"/>
                <w:bCs/>
                <w:color w:val="000000" w:themeColor="text1"/>
                <w:lang w:val="ro-RO"/>
              </w:rPr>
              <w:t xml:space="preserve"> % în conformitate cu </w:t>
            </w:r>
            <w:r w:rsidR="00FD640E" w:rsidRPr="003117B3">
              <w:rPr>
                <w:rFonts w:ascii="Times New Roman" w:eastAsia="Arial Unicode MS" w:hAnsi="Times New Roman" w:cs="Times New Roman"/>
                <w:bCs/>
                <w:color w:val="000000" w:themeColor="text1"/>
                <w:lang w:val="ro-RO"/>
              </w:rPr>
              <w:t>secțiunea 12,</w:t>
            </w:r>
            <w:r w:rsidR="00277A5B" w:rsidRPr="003117B3">
              <w:rPr>
                <w:rFonts w:ascii="Times New Roman" w:eastAsia="Arial Unicode MS" w:hAnsi="Times New Roman" w:cs="Times New Roman"/>
                <w:bCs/>
                <w:color w:val="000000" w:themeColor="text1"/>
                <w:lang w:val="ro-RO"/>
              </w:rPr>
              <w:t xml:space="preserve"> capitolul IV din Regulamentul nr.111/2018</w:t>
            </w:r>
            <w:r w:rsidRPr="003117B3">
              <w:rPr>
                <w:rFonts w:ascii="Times New Roman" w:eastAsia="Arial Unicode MS" w:hAnsi="Times New Roman" w:cs="Times New Roman"/>
                <w:bCs/>
                <w:color w:val="000000" w:themeColor="text1"/>
                <w:lang w:val="ro-RO"/>
              </w:rPr>
              <w:t>;</w:t>
            </w:r>
          </w:p>
          <w:p w14:paraId="50E040FA" w14:textId="286A7225" w:rsidR="004F4458" w:rsidRPr="003117B3" w:rsidRDefault="004F4458" w:rsidP="00345A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 xml:space="preserve">2) împrumuturile negrevate de sarcini cu o scadenţă reziduală de cel puţin un an, cu excepţia împrumuturilor acordate clienţilor financiari și a împrumuturilor menţionate la </w:t>
            </w:r>
            <w:r w:rsidR="009B4C79" w:rsidRPr="003117B3">
              <w:rPr>
                <w:rFonts w:ascii="Times New Roman" w:eastAsia="Arial Unicode MS" w:hAnsi="Times New Roman" w:cs="Times New Roman"/>
                <w:bCs/>
                <w:color w:val="000000" w:themeColor="text1"/>
                <w:lang w:val="ro-RO"/>
              </w:rPr>
              <w:t>pct.</w:t>
            </w:r>
            <w:r w:rsidR="00E11CE0" w:rsidRPr="003117B3">
              <w:rPr>
                <w:rFonts w:ascii="Times New Roman" w:eastAsia="Arial Unicode MS" w:hAnsi="Times New Roman" w:cs="Times New Roman"/>
                <w:bCs/>
                <w:strike/>
                <w:color w:val="000000" w:themeColor="text1"/>
                <w:sz w:val="24"/>
                <w:szCs w:val="24"/>
                <w:lang w:val="ro-RO"/>
              </w:rPr>
              <w:t xml:space="preserve"> </w:t>
            </w:r>
            <w:r w:rsidR="00E11CE0" w:rsidRPr="003117B3">
              <w:rPr>
                <w:rFonts w:ascii="Times New Roman" w:eastAsia="Arial Unicode MS" w:hAnsi="Times New Roman" w:cs="Times New Roman"/>
                <w:bCs/>
                <w:color w:val="000000" w:themeColor="text1"/>
                <w:lang w:val="ro-RO"/>
              </w:rPr>
              <w:t>109</w:t>
            </w:r>
            <w:r w:rsidR="00E11CE0" w:rsidRPr="003117B3">
              <w:rPr>
                <w:rFonts w:ascii="Times New Roman" w:eastAsia="Arial Unicode MS" w:hAnsi="Times New Roman" w:cs="Times New Roman"/>
                <w:bCs/>
                <w:color w:val="000000" w:themeColor="text1"/>
                <w:vertAlign w:val="superscript"/>
                <w:lang w:val="ro-RO"/>
              </w:rPr>
              <w:t>56</w:t>
            </w:r>
            <w:r w:rsidR="00E11CE0" w:rsidRPr="003117B3">
              <w:rPr>
                <w:rFonts w:ascii="Times New Roman" w:eastAsia="Arial Unicode MS" w:hAnsi="Times New Roman" w:cs="Times New Roman"/>
                <w:bCs/>
                <w:color w:val="000000" w:themeColor="text1"/>
                <w:lang w:val="ro-RO"/>
              </w:rPr>
              <w:t>-109</w:t>
            </w:r>
            <w:r w:rsidR="00E11CE0" w:rsidRPr="003117B3">
              <w:rPr>
                <w:rFonts w:ascii="Times New Roman" w:eastAsia="Arial Unicode MS" w:hAnsi="Times New Roman" w:cs="Times New Roman"/>
                <w:bCs/>
                <w:color w:val="000000" w:themeColor="text1"/>
                <w:vertAlign w:val="superscript"/>
                <w:lang w:val="ro-RO"/>
              </w:rPr>
              <w:t>67</w:t>
            </w:r>
            <w:r w:rsidRPr="003117B3">
              <w:rPr>
                <w:rFonts w:ascii="Times New Roman" w:eastAsia="Arial Unicode MS" w:hAnsi="Times New Roman" w:cs="Times New Roman"/>
                <w:bCs/>
                <w:color w:val="000000" w:themeColor="text1"/>
                <w:lang w:val="ro-RO"/>
              </w:rPr>
              <w:t xml:space="preserve">, cu condiţia ca aceste împrumuturi să primească o pondere de risc de </w:t>
            </w:r>
            <w:r w:rsidR="009B4C79" w:rsidRPr="003117B3">
              <w:rPr>
                <w:rFonts w:ascii="Times New Roman" w:eastAsia="Arial Unicode MS" w:hAnsi="Times New Roman" w:cs="Times New Roman"/>
                <w:bCs/>
                <w:color w:val="000000" w:themeColor="text1"/>
                <w:lang w:val="ro-RO"/>
              </w:rPr>
              <w:t xml:space="preserve">maximum 50 % în </w:t>
            </w:r>
            <w:r w:rsidR="009B4C79" w:rsidRPr="003117B3">
              <w:rPr>
                <w:rFonts w:ascii="Times New Roman" w:eastAsia="Arial Unicode MS" w:hAnsi="Times New Roman" w:cs="Times New Roman"/>
                <w:bCs/>
                <w:color w:val="000000" w:themeColor="text1"/>
                <w:lang w:val="ro-RO"/>
              </w:rPr>
              <w:lastRenderedPageBreak/>
              <w:t>conformitate cu secțiunea 12, capitolul IV din Regulamentul nr.111/2018</w:t>
            </w:r>
            <w:r w:rsidRPr="003117B3">
              <w:rPr>
                <w:rFonts w:ascii="Times New Roman" w:eastAsia="Arial Unicode MS" w:hAnsi="Times New Roman" w:cs="Times New Roman"/>
                <w:bCs/>
                <w:color w:val="000000" w:themeColor="text1"/>
                <w:lang w:val="ro-RO"/>
              </w:rPr>
              <w:t>.</w:t>
            </w:r>
          </w:p>
        </w:tc>
        <w:tc>
          <w:tcPr>
            <w:tcW w:w="336" w:type="pct"/>
          </w:tcPr>
          <w:p w14:paraId="46299FB8" w14:textId="198015FC" w:rsidR="004F4458" w:rsidRPr="003117B3" w:rsidRDefault="00EC056E"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Parțialc</w:t>
            </w:r>
            <w:r w:rsidR="00FD488A" w:rsidRPr="003117B3">
              <w:rPr>
                <w:rFonts w:ascii="Times New Roman" w:hAnsi="Times New Roman" w:cs="Times New Roman"/>
                <w:b/>
                <w:color w:val="000000" w:themeColor="text1"/>
                <w:lang w:val="ro-MD"/>
              </w:rPr>
              <w:t>ompatibil</w:t>
            </w:r>
          </w:p>
        </w:tc>
        <w:tc>
          <w:tcPr>
            <w:tcW w:w="1153" w:type="pct"/>
          </w:tcPr>
          <w:p w14:paraId="45E13B12" w14:textId="34C68F8A" w:rsidR="004F4458" w:rsidRPr="003117B3" w:rsidRDefault="00EC056E"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Ponderea de risc </w:t>
            </w:r>
            <w:r w:rsidR="0098420E" w:rsidRPr="003117B3">
              <w:rPr>
                <w:rFonts w:ascii="Times New Roman" w:hAnsi="Times New Roman" w:cs="Times New Roman"/>
                <w:color w:val="000000" w:themeColor="text1"/>
                <w:lang w:val="ro-MD"/>
              </w:rPr>
              <w:t>a împrumuturilor negrevate de sarcini</w:t>
            </w:r>
            <w:r w:rsidR="00E668B8" w:rsidRPr="003117B3">
              <w:rPr>
                <w:rFonts w:ascii="Times New Roman" w:hAnsi="Times New Roman" w:cs="Times New Roman"/>
                <w:color w:val="000000" w:themeColor="text1"/>
                <w:lang w:val="ro-MD"/>
              </w:rPr>
              <w:t xml:space="preserve"> de la lit.(a) și (b) din articolul 428af</w:t>
            </w:r>
            <w:r w:rsidR="0098420E" w:rsidRPr="003117B3">
              <w:rPr>
                <w:rFonts w:ascii="Times New Roman" w:hAnsi="Times New Roman" w:cs="Times New Roman"/>
                <w:color w:val="000000" w:themeColor="text1"/>
                <w:lang w:val="ro-MD"/>
              </w:rPr>
              <w:t xml:space="preserve">, a fost </w:t>
            </w:r>
            <w:r w:rsidR="001607EC" w:rsidRPr="003117B3">
              <w:rPr>
                <w:rFonts w:ascii="Times New Roman" w:hAnsi="Times New Roman" w:cs="Times New Roman"/>
                <w:color w:val="000000" w:themeColor="text1"/>
                <w:lang w:val="ro-MD"/>
              </w:rPr>
              <w:t>modificat din 35% în 50%, astfel cum este stabilt în secțiunea 12, capitolul IV din Regulamentul nr.111/2018.</w:t>
            </w:r>
          </w:p>
        </w:tc>
        <w:tc>
          <w:tcPr>
            <w:tcW w:w="674" w:type="pct"/>
          </w:tcPr>
          <w:p w14:paraId="6CA40A96"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5026F5A"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31EC5E6"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Articolul 428ag</w:t>
            </w:r>
          </w:p>
          <w:p w14:paraId="7E9AED7B" w14:textId="77777777"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b/>
                <w:color w:val="000000" w:themeColor="text1"/>
                <w:lang w:val="it-IT"/>
              </w:rPr>
              <w:t>Factorul de finanţare stabilă necesară de 85 %</w:t>
            </w:r>
          </w:p>
          <w:p w14:paraId="18957B4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Următoarele active și elemente extrabilanţiere fac obiectul unui factor de finanţare stabilă necesară de 85 %:</w:t>
            </w:r>
          </w:p>
          <w:p w14:paraId="39A7F6F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orice activ și element extrabilanţier, inclusiv numerar, furnizate ca marjă iniţială pentru contracte derivate, cu excepţia cazului în care activului respectiv i s-ar atribui un factor mai mare de finanţare stabilă necesară în conformitate cu articolul 428ah dacă ar fi negrevat de sarcini, caz în care se aplică factorul de finanţare stabilă necesară mai mare care s-ar aplica activului respectiv dacă acesta ar fi negrevat de sarcini;</w:t>
            </w:r>
          </w:p>
          <w:p w14:paraId="7BB93757"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orice activ și element extrabilanţier, inclusiv numerar, furnizat drept contribuţii la fondul de garantare al unui CPC, cu excepţia cazului în care acestuia i s-ar atribui un factor mai mare de finanţare stabilă necesară în conformitate cu articolul 428ah dacă ar fi negrevat de sarcini, caz în care se aplică factorul de finanţare stabilă necesară mai mare care trebuie aplicat activului negrevat de sarcini;</w:t>
            </w:r>
          </w:p>
          <w:p w14:paraId="0B8D02D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(c) împrumuturile negrevate de sarcini cu o scadenţă reziduală de cel puţin un an, cu excepţia împrumuturilor acordate clienţilor financiari și a împrumuturilor menţionate la articolele 428r-428af, care nu sunt restante de mai mult de 90 de zile și care primesc o pondere de risc de peste 35 % în conformitate cu partea a treia titlul II capitolul 2;</w:t>
            </w:r>
          </w:p>
          <w:p w14:paraId="3BB38E4F"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 produsele din bilanţ aferente finanţării comerţului cu o scadenţă reziduală de cel puţin un an;</w:t>
            </w:r>
          </w:p>
          <w:p w14:paraId="7267451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(e) titlurile de valoare negrevate de sarcini cu o scadenţă reziduală de cel puţin un an care nu sunt în stare de nerambursare în conformitate cu articolul 178 și care nu sunt eligibile drept active lichide în temeiul actului delegat menţionat la articolul 460 alineatul (1);</w:t>
            </w:r>
          </w:p>
          <w:p w14:paraId="1E645864"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(f) titlurile de capital tranzacţionate la bursă negrevate de sarcini care nu sunt eligibile drept active de nivel 2B în temeiul actului delegat menţionat la articolul 460 alineatul (1);</w:t>
            </w:r>
          </w:p>
          <w:p w14:paraId="3CED72E2"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(g) mărfurile tranzacţionate fizic, inclusiv aurul, cu excepţia instrumentelor financiare derivate pe mărfuri;</w:t>
            </w:r>
          </w:p>
          <w:p w14:paraId="6BEBF507" w14:textId="7C5D2935"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 xml:space="preserve">(h) activele grevate de sarcini, cu o scadenţă reziduală de cel puţin un an, incluse într-un </w:t>
            </w:r>
            <w:r w:rsidRPr="003117B3">
              <w:rPr>
                <w:rFonts w:ascii="Times New Roman" w:hAnsi="Times New Roman" w:cs="Times New Roman"/>
                <w:color w:val="000000" w:themeColor="text1"/>
                <w:lang w:val="it-IT"/>
              </w:rPr>
              <w:lastRenderedPageBreak/>
              <w:t>portofoliu de creanţe finanţat prin obligaţiuni garantate, astfel cum sunt menţionate la articolul 52 alineatul (4) din Directiva 2009/65/CE sau obligaţiunile garantate care îndeplinesc cerinţele de eligibilitate pentru tratament prevăzute la articolul 129 alineatul (4) sau (5) din prezentul regulament.</w:t>
            </w:r>
          </w:p>
        </w:tc>
        <w:tc>
          <w:tcPr>
            <w:tcW w:w="1249" w:type="pct"/>
          </w:tcPr>
          <w:p w14:paraId="516C3513" w14:textId="3A9E752F"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lastRenderedPageBreak/>
              <w:t xml:space="preserve">Subsecțiunea 10. Factorul de finanţare stabilă necesară de 85 % </w:t>
            </w:r>
          </w:p>
          <w:p w14:paraId="3F3CF05F" w14:textId="3B6900FB" w:rsidR="004F4458" w:rsidRPr="003117B3" w:rsidRDefault="00E11CE0"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bCs/>
                <w:color w:val="000000" w:themeColor="text1"/>
                <w:sz w:val="24"/>
                <w:szCs w:val="24"/>
                <w:lang w:val="ro-RO"/>
              </w:rPr>
              <w:t>109</w:t>
            </w:r>
            <w:r w:rsidRPr="003117B3">
              <w:rPr>
                <w:rFonts w:ascii="Times New Roman" w:eastAsia="Arial Unicode MS" w:hAnsi="Times New Roman" w:cs="Times New Roman"/>
                <w:b/>
                <w:bCs/>
                <w:color w:val="000000" w:themeColor="text1"/>
                <w:sz w:val="24"/>
                <w:szCs w:val="24"/>
                <w:vertAlign w:val="superscript"/>
                <w:lang w:val="ro-RO"/>
              </w:rPr>
              <w:t>70</w:t>
            </w:r>
            <w:r w:rsidR="004F4458" w:rsidRPr="003117B3">
              <w:rPr>
                <w:rFonts w:ascii="Times New Roman" w:eastAsia="Arial Unicode MS" w:hAnsi="Times New Roman" w:cs="Times New Roman"/>
                <w:bCs/>
                <w:color w:val="000000" w:themeColor="text1"/>
                <w:lang w:val="ro-RO"/>
              </w:rPr>
              <w:t>. Următoarele active și elemente extrabilanţiere fac obiectul unui factor de finanţare stabilă necesară de 85 %:</w:t>
            </w:r>
          </w:p>
          <w:p w14:paraId="1FDE3784" w14:textId="6011285B"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1) orice activ și element extrabilanţier, inclusiv numerar, furnizate ca marjă iniţială pentru contracte derivate, cu excepţia cazului în care activului respectiv i s-ar atribui un factor mai mare de finanţare stabilă necesară în conformitate cu </w:t>
            </w:r>
            <w:r w:rsidR="009B4C79" w:rsidRPr="003117B3">
              <w:rPr>
                <w:rFonts w:ascii="Times New Roman" w:eastAsia="Arial Unicode MS" w:hAnsi="Times New Roman" w:cs="Times New Roman"/>
                <w:bCs/>
                <w:color w:val="000000" w:themeColor="text1"/>
                <w:lang w:val="ro-RO"/>
              </w:rPr>
              <w:t>subsecțiunea 11 din prezenta secțiune</w:t>
            </w:r>
            <w:r w:rsidRPr="003117B3">
              <w:rPr>
                <w:rFonts w:ascii="Times New Roman" w:eastAsia="Arial Unicode MS" w:hAnsi="Times New Roman" w:cs="Times New Roman"/>
                <w:bCs/>
                <w:color w:val="000000" w:themeColor="text1"/>
                <w:lang w:val="ro-RO"/>
              </w:rPr>
              <w:t xml:space="preserve"> dacă ar fi negrevat de sarcini, caz în care se aplică factorul de finanţare stabilă necesară mai mare care s-ar aplica activului respectiv dacă acesta ar fi negrevat de sarcini;</w:t>
            </w:r>
          </w:p>
          <w:p w14:paraId="2B0495FA" w14:textId="46576903"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2) orice activ și element extrabilanţier, inclusiv numerar, furnizat drept contribuţii la fondul de garantare al unui CPC, cu excepţia cazului în care acestuia i s-ar atribui un factor mai mare de finanţare stabilă necesară în conformitate cu </w:t>
            </w:r>
            <w:r w:rsidR="009B4C79" w:rsidRPr="003117B3">
              <w:rPr>
                <w:rFonts w:ascii="Times New Roman" w:eastAsia="Arial Unicode MS" w:hAnsi="Times New Roman" w:cs="Times New Roman"/>
                <w:bCs/>
                <w:color w:val="000000" w:themeColor="text1"/>
                <w:lang w:val="ro-RO"/>
              </w:rPr>
              <w:t xml:space="preserve">subsecțiunea 11 din prezenta secțiune </w:t>
            </w:r>
            <w:r w:rsidRPr="003117B3">
              <w:rPr>
                <w:rFonts w:ascii="Times New Roman" w:eastAsia="Arial Unicode MS" w:hAnsi="Times New Roman" w:cs="Times New Roman"/>
                <w:bCs/>
                <w:color w:val="000000" w:themeColor="text1"/>
                <w:lang w:val="ro-RO"/>
              </w:rPr>
              <w:t xml:space="preserve">dacă ar fi negrevat de </w:t>
            </w:r>
            <w:r w:rsidRPr="003117B3">
              <w:rPr>
                <w:rFonts w:ascii="Times New Roman" w:eastAsia="Arial Unicode MS" w:hAnsi="Times New Roman" w:cs="Times New Roman"/>
                <w:bCs/>
                <w:color w:val="000000" w:themeColor="text1"/>
                <w:lang w:val="ro-RO"/>
              </w:rPr>
              <w:lastRenderedPageBreak/>
              <w:t>sarcini, caz în care se aplică factorul de finanţare stabilă necesară mai mare care trebuie aplicat activului negrevat de sarcini;</w:t>
            </w:r>
          </w:p>
          <w:p w14:paraId="69FA552F" w14:textId="411EB98D"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3) împrumuturile negrevate de sarcini cu o scadenţă reziduală de cel puţin un an, cu excepţia împrumuturilor acordate clienţilor financiari și a împrumuturilor menţionate la </w:t>
            </w:r>
            <w:r w:rsidR="009B4C79" w:rsidRPr="003117B3">
              <w:rPr>
                <w:rFonts w:ascii="Times New Roman" w:eastAsia="Arial Unicode MS" w:hAnsi="Times New Roman" w:cs="Times New Roman"/>
                <w:bCs/>
                <w:color w:val="000000" w:themeColor="text1"/>
                <w:lang w:val="ro-RO"/>
              </w:rPr>
              <w:t>pct.</w:t>
            </w:r>
            <w:r w:rsidR="00E11CE0" w:rsidRPr="003117B3">
              <w:rPr>
                <w:rFonts w:ascii="Times New Roman" w:eastAsia="Arial Unicode MS" w:hAnsi="Times New Roman" w:cs="Times New Roman"/>
                <w:bCs/>
                <w:strike/>
                <w:color w:val="000000" w:themeColor="text1"/>
                <w:sz w:val="24"/>
                <w:szCs w:val="24"/>
                <w:lang w:val="ro-RO"/>
              </w:rPr>
              <w:t xml:space="preserve"> </w:t>
            </w:r>
            <w:r w:rsidR="00E11CE0" w:rsidRPr="003117B3">
              <w:rPr>
                <w:rFonts w:ascii="Times New Roman" w:eastAsia="Arial Unicode MS" w:hAnsi="Times New Roman" w:cs="Times New Roman"/>
                <w:bCs/>
                <w:color w:val="000000" w:themeColor="text1"/>
                <w:lang w:val="ro-RO"/>
              </w:rPr>
              <w:t>109</w:t>
            </w:r>
            <w:r w:rsidR="00E11CE0" w:rsidRPr="003117B3">
              <w:rPr>
                <w:rFonts w:ascii="Times New Roman" w:eastAsia="Arial Unicode MS" w:hAnsi="Times New Roman" w:cs="Times New Roman"/>
                <w:bCs/>
                <w:color w:val="000000" w:themeColor="text1"/>
                <w:vertAlign w:val="superscript"/>
                <w:lang w:val="ro-RO"/>
              </w:rPr>
              <w:t>56</w:t>
            </w:r>
            <w:r w:rsidR="00E11CE0" w:rsidRPr="003117B3">
              <w:rPr>
                <w:rFonts w:ascii="Times New Roman" w:eastAsia="Arial Unicode MS" w:hAnsi="Times New Roman" w:cs="Times New Roman"/>
                <w:bCs/>
                <w:color w:val="000000" w:themeColor="text1"/>
                <w:lang w:val="ro-RO"/>
              </w:rPr>
              <w:t>-109</w:t>
            </w:r>
            <w:r w:rsidR="00E11CE0" w:rsidRPr="003117B3">
              <w:rPr>
                <w:rFonts w:ascii="Times New Roman" w:eastAsia="Arial Unicode MS" w:hAnsi="Times New Roman" w:cs="Times New Roman"/>
                <w:bCs/>
                <w:color w:val="000000" w:themeColor="text1"/>
                <w:vertAlign w:val="superscript"/>
                <w:lang w:val="ro-RO"/>
              </w:rPr>
              <w:t>69</w:t>
            </w:r>
            <w:r w:rsidRPr="003117B3">
              <w:rPr>
                <w:rFonts w:ascii="Times New Roman" w:eastAsia="Arial Unicode MS" w:hAnsi="Times New Roman" w:cs="Times New Roman"/>
                <w:bCs/>
                <w:color w:val="000000" w:themeColor="text1"/>
                <w:lang w:val="ro-RO"/>
              </w:rPr>
              <w:t>, care nu sunt restante de mai mult de 90 de zile și care primesc o pondere de risc de peste 50 % în conformitate cu capitolul IV din Regulamentul nr.111/2018;</w:t>
            </w:r>
          </w:p>
          <w:p w14:paraId="43A2E336" w14:textId="52C13921"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4) produsele din bilanţ aferente finanţării comerţului cu o scadenţă reziduală de cel puţin un an;</w:t>
            </w:r>
          </w:p>
          <w:p w14:paraId="5AF3611D" w14:textId="59B977D6"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5) titlurile de valoare negrevate de sarcini cu o scadenţă reziduală de cel puţin un an care nu sunt în stare de nerambursare în conformitate cu </w:t>
            </w:r>
            <w:r w:rsidR="00DA5F30" w:rsidRPr="003117B3">
              <w:rPr>
                <w:rFonts w:ascii="Times New Roman" w:eastAsia="Arial Unicode MS" w:hAnsi="Times New Roman" w:cs="Times New Roman"/>
                <w:bCs/>
                <w:color w:val="000000" w:themeColor="text1"/>
                <w:lang w:val="ro-RO"/>
              </w:rPr>
              <w:t xml:space="preserve">prevederile secţiunii 3, capitolului III din Regulamentul nr.111/2018 sau </w:t>
            </w:r>
            <w:r w:rsidRPr="003117B3">
              <w:rPr>
                <w:rFonts w:ascii="Times New Roman" w:eastAsia="Arial Unicode MS" w:hAnsi="Times New Roman" w:cs="Times New Roman"/>
                <w:bCs/>
                <w:color w:val="000000" w:themeColor="text1"/>
                <w:lang w:val="ro-RO"/>
              </w:rPr>
              <w:t>și care nu sunt eligibile drept active lichide în temeiul titlului II;</w:t>
            </w:r>
          </w:p>
          <w:p w14:paraId="45E16EDA" w14:textId="3B372635"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6) titlurile de capital tranzacţionate la bursă negrevate de sarcini care nu sunt </w:t>
            </w:r>
            <w:r w:rsidRPr="003117B3">
              <w:rPr>
                <w:rFonts w:ascii="Times New Roman" w:eastAsia="Arial Unicode MS" w:hAnsi="Times New Roman" w:cs="Times New Roman"/>
                <w:bCs/>
                <w:color w:val="000000" w:themeColor="text1"/>
                <w:lang w:val="ro-RO"/>
              </w:rPr>
              <w:lastRenderedPageBreak/>
              <w:t>eligibile drept active de nivel 2B în temeiul titlului II;</w:t>
            </w:r>
          </w:p>
          <w:p w14:paraId="5623F073" w14:textId="16A9AE64" w:rsidR="004F4458" w:rsidRPr="003117B3" w:rsidRDefault="004F4458" w:rsidP="00345A76">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7) mărfurile tranzacţionate fizic, inclusiv aurul, cu excepţia instrumentelor financiare derivate pe mărfuri</w:t>
            </w:r>
            <w:r w:rsidR="006807E3" w:rsidRPr="003117B3">
              <w:rPr>
                <w:rFonts w:ascii="Times New Roman" w:eastAsia="Arial Unicode MS" w:hAnsi="Times New Roman" w:cs="Times New Roman"/>
                <w:bCs/>
                <w:color w:val="000000" w:themeColor="text1"/>
                <w:lang w:val="ro-RO"/>
              </w:rPr>
              <w:t>.</w:t>
            </w:r>
          </w:p>
        </w:tc>
        <w:tc>
          <w:tcPr>
            <w:tcW w:w="336" w:type="pct"/>
          </w:tcPr>
          <w:p w14:paraId="3BCC3CA0" w14:textId="0F78DA40" w:rsidR="004F4458" w:rsidRPr="003117B3" w:rsidRDefault="008A0EE0"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Parțial c</w:t>
            </w:r>
            <w:r w:rsidR="006C6430" w:rsidRPr="003117B3">
              <w:rPr>
                <w:rFonts w:ascii="Times New Roman" w:hAnsi="Times New Roman" w:cs="Times New Roman"/>
                <w:b/>
                <w:color w:val="000000" w:themeColor="text1"/>
                <w:lang w:val="ro-MD"/>
              </w:rPr>
              <w:t>ompatibil</w:t>
            </w:r>
          </w:p>
        </w:tc>
        <w:tc>
          <w:tcPr>
            <w:tcW w:w="1153" w:type="pct"/>
          </w:tcPr>
          <w:p w14:paraId="41C9C58C" w14:textId="45FA1EAA" w:rsidR="00E668B8" w:rsidRPr="003117B3" w:rsidRDefault="00E668B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Ponderea de risc a împrumuturilor negrevate de sarcini de la lit.(c) din articolul 428ag, a fost modificat din 35% în 50%, astfel cum este stabilt în capitolul IV din Regulamentul nr.111/2018.</w:t>
            </w:r>
          </w:p>
          <w:p w14:paraId="253E9F97" w14:textId="2815505A" w:rsidR="004F4458" w:rsidRPr="003117B3" w:rsidRDefault="008A0EE0"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de la lit.h) nu au fost transpuse – se referă la obligaţiuni garantate.</w:t>
            </w:r>
            <w:r w:rsidRPr="003117B3">
              <w:rPr>
                <w:rFonts w:ascii="Times New Roman" w:eastAsia="Times New Roman" w:hAnsi="Times New Roman" w:cs="Times New Roman"/>
                <w:color w:val="000000" w:themeColor="text1"/>
                <w:sz w:val="18"/>
                <w:szCs w:val="18"/>
                <w:lang w:val="ro-RO" w:eastAsia="ru-RU"/>
              </w:rPr>
              <w:t xml:space="preserve"> </w:t>
            </w:r>
            <w:r w:rsidRPr="003117B3">
              <w:rPr>
                <w:rFonts w:ascii="Times New Roman" w:hAnsi="Times New Roman" w:cs="Times New Roman"/>
                <w:color w:val="000000" w:themeColor="text1"/>
                <w:lang w:val="ro-RO"/>
              </w:rPr>
              <w:t>Prevederile aferente obligațiunilor garantate nu au fost transpuse - acestea lipsesc în Republica Moldova</w:t>
            </w:r>
            <w:r w:rsidR="00D96FB6" w:rsidRPr="003117B3">
              <w:rPr>
                <w:color w:val="000000" w:themeColor="text1"/>
                <w:lang w:val="ro-RO"/>
              </w:rPr>
              <w:t xml:space="preserve"> </w:t>
            </w:r>
            <w:r w:rsidR="00D96FB6" w:rsidRPr="003117B3">
              <w:rPr>
                <w:rFonts w:ascii="Times New Roman" w:hAnsi="Times New Roman" w:cs="Times New Roman"/>
                <w:color w:val="000000" w:themeColor="text1"/>
                <w:lang w:val="ro-RO"/>
              </w:rPr>
              <w:t>și nu sunt reglementate de cadrul primar</w:t>
            </w:r>
            <w:r w:rsidRPr="003117B3">
              <w:rPr>
                <w:rFonts w:ascii="Times New Roman" w:hAnsi="Times New Roman" w:cs="Times New Roman"/>
                <w:color w:val="000000" w:themeColor="text1"/>
                <w:lang w:val="ro-RO"/>
              </w:rPr>
              <w:t>. A se vedea tabelul de concordanță RD 2015/61.</w:t>
            </w:r>
            <w:r w:rsidR="0036633D" w:rsidRPr="003117B3">
              <w:rPr>
                <w:rFonts w:ascii="Times New Roman" w:hAnsi="Times New Roman" w:cs="Times New Roman"/>
                <w:color w:val="000000" w:themeColor="text1"/>
                <w:lang w:val="ro-RO"/>
              </w:rPr>
              <w:t xml:space="preserve"> </w:t>
            </w:r>
          </w:p>
        </w:tc>
        <w:tc>
          <w:tcPr>
            <w:tcW w:w="674" w:type="pct"/>
          </w:tcPr>
          <w:p w14:paraId="6E7D390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202B4D3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44E79F9E" w14:textId="77777777" w:rsidR="004F4458" w:rsidRPr="003117B3" w:rsidRDefault="004F4458" w:rsidP="004F4458">
            <w:pPr>
              <w:spacing w:after="0" w:line="276" w:lineRule="auto"/>
              <w:jc w:val="both"/>
              <w:rPr>
                <w:rFonts w:ascii="Times New Roman" w:hAnsi="Times New Roman" w:cs="Times New Roman"/>
                <w:b/>
                <w:color w:val="000000" w:themeColor="text1"/>
              </w:rPr>
            </w:pPr>
            <w:r w:rsidRPr="003117B3">
              <w:rPr>
                <w:rFonts w:ascii="Times New Roman" w:hAnsi="Times New Roman" w:cs="Times New Roman"/>
                <w:b/>
                <w:color w:val="000000" w:themeColor="text1"/>
              </w:rPr>
              <w:lastRenderedPageBreak/>
              <w:t>Articolul 428ah</w:t>
            </w:r>
          </w:p>
          <w:p w14:paraId="04E34E4A" w14:textId="77777777" w:rsidR="004F4458" w:rsidRPr="003117B3" w:rsidRDefault="004F4458" w:rsidP="004F4458">
            <w:pPr>
              <w:spacing w:after="0" w:line="276" w:lineRule="auto"/>
              <w:jc w:val="both"/>
              <w:rPr>
                <w:rFonts w:ascii="Times New Roman" w:hAnsi="Times New Roman" w:cs="Times New Roman"/>
                <w:b/>
                <w:color w:val="000000" w:themeColor="text1"/>
              </w:rPr>
            </w:pPr>
            <w:r w:rsidRPr="003117B3">
              <w:rPr>
                <w:rFonts w:ascii="Times New Roman" w:hAnsi="Times New Roman" w:cs="Times New Roman"/>
                <w:b/>
                <w:color w:val="000000" w:themeColor="text1"/>
              </w:rPr>
              <w:t>Factorul de finanţare stabilă necesară de 100 %</w:t>
            </w:r>
          </w:p>
          <w:p w14:paraId="1F3F10DA" w14:textId="77777777"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t>(1) Următoarelor active li se aplică un factor de finanţare stabilă necesară de 100 %:</w:t>
            </w:r>
          </w:p>
          <w:p w14:paraId="517635DD"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cu excepţia cazului în care se prevede altfel în prezentul capitol, orice activ grevat de sarcini cu o scadenţă reziduală de cel puţin un an;</w:t>
            </w:r>
          </w:p>
          <w:p w14:paraId="3D7449C7" w14:textId="48EBC35D" w:rsidR="004F4458" w:rsidRPr="003117B3" w:rsidRDefault="004F4458" w:rsidP="00E8628A">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(b) orice activ, în afara celor menţionate la articolele 428r-428ag, inclusiv împrumuturile către clienţi financiari cu o scadenţă contractuală reziduală de cel puţin un an, expunerile neperformante, elementele deduse din fondurile proprii, activele fixe, titlurile de capital netranzacţionate la bursă, interesul reţinut, activele aferente asigurărilor, titlurile de valoare aflate în stare de nerambursare.</w:t>
            </w:r>
          </w:p>
        </w:tc>
        <w:tc>
          <w:tcPr>
            <w:tcW w:w="1249" w:type="pct"/>
          </w:tcPr>
          <w:p w14:paraId="3CFF3FDE" w14:textId="11EFE12F"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
                <w:bCs/>
                <w:i/>
                <w:color w:val="000000" w:themeColor="text1"/>
                <w:lang w:val="ro-RO"/>
              </w:rPr>
              <w:t xml:space="preserve">Subsecțiunea 11. Factorul de finanţare stabilă necesară de 100 % </w:t>
            </w:r>
          </w:p>
          <w:p w14:paraId="2741F906" w14:textId="242E712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 xml:space="preserve"> </w:t>
            </w:r>
            <w:r w:rsidR="00E11CE0" w:rsidRPr="003117B3">
              <w:rPr>
                <w:rFonts w:ascii="Times New Roman" w:eastAsia="Arial Unicode MS" w:hAnsi="Times New Roman" w:cs="Times New Roman"/>
                <w:b/>
                <w:bCs/>
                <w:color w:val="000000" w:themeColor="text1"/>
                <w:lang w:val="ro-RO"/>
              </w:rPr>
              <w:t>109</w:t>
            </w:r>
            <w:r w:rsidR="00E11CE0" w:rsidRPr="003117B3">
              <w:rPr>
                <w:rFonts w:ascii="Times New Roman" w:eastAsia="Arial Unicode MS" w:hAnsi="Times New Roman" w:cs="Times New Roman"/>
                <w:b/>
                <w:bCs/>
                <w:color w:val="000000" w:themeColor="text1"/>
                <w:vertAlign w:val="superscript"/>
                <w:lang w:val="ro-RO"/>
              </w:rPr>
              <w:t>71</w:t>
            </w:r>
            <w:r w:rsidRPr="003117B3">
              <w:rPr>
                <w:rFonts w:ascii="Times New Roman" w:eastAsia="Arial Unicode MS" w:hAnsi="Times New Roman" w:cs="Times New Roman"/>
                <w:bCs/>
                <w:color w:val="000000" w:themeColor="text1"/>
                <w:lang w:val="ro-RO"/>
              </w:rPr>
              <w:t>.  Următoarelor active li se aplică un factor de finanţare stabilă necesară de 100 %:</w:t>
            </w:r>
          </w:p>
          <w:p w14:paraId="28FB18B3"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 cu excepţia cazului în care se prevede altfel în prezenta secțiune, orice activ grevat de sarcini cu o scadenţă reziduală de cel puţin un an;</w:t>
            </w:r>
          </w:p>
          <w:p w14:paraId="313F19E8" w14:textId="105FDE9C" w:rsidR="004F4458" w:rsidRPr="003117B3" w:rsidRDefault="004F4458" w:rsidP="00E8628A">
            <w:pPr>
              <w:tabs>
                <w:tab w:val="left" w:pos="265"/>
              </w:tabs>
              <w:spacing w:after="120" w:line="240" w:lineRule="auto"/>
              <w:rPr>
                <w:rFonts w:ascii="Times New Roman" w:hAnsi="Times New Roman" w:cs="Times New Roman"/>
                <w:color w:val="000000" w:themeColor="text1"/>
                <w:lang w:val="ro-RO"/>
              </w:rPr>
            </w:pPr>
            <w:r w:rsidRPr="003117B3">
              <w:rPr>
                <w:rFonts w:ascii="Times New Roman" w:eastAsia="Arial Unicode MS" w:hAnsi="Times New Roman" w:cs="Times New Roman"/>
                <w:bCs/>
                <w:color w:val="000000" w:themeColor="text1"/>
                <w:lang w:val="ro-RO"/>
              </w:rPr>
              <w:t xml:space="preserve">2) orice activ, în afara celor menţionate la </w:t>
            </w:r>
            <w:r w:rsidR="00E4124F" w:rsidRPr="003117B3">
              <w:rPr>
                <w:rFonts w:ascii="Times New Roman" w:eastAsia="Arial Unicode MS" w:hAnsi="Times New Roman" w:cs="Times New Roman"/>
                <w:bCs/>
                <w:color w:val="000000" w:themeColor="text1"/>
                <w:lang w:val="ro-RO"/>
              </w:rPr>
              <w:t>pct.</w:t>
            </w:r>
            <w:r w:rsidR="00E11CE0" w:rsidRPr="003117B3">
              <w:rPr>
                <w:rFonts w:ascii="Times New Roman" w:eastAsia="Arial Unicode MS" w:hAnsi="Times New Roman" w:cs="Times New Roman"/>
                <w:bCs/>
                <w:color w:val="000000" w:themeColor="text1"/>
                <w:sz w:val="24"/>
                <w:szCs w:val="24"/>
                <w:lang w:val="ro-RO"/>
              </w:rPr>
              <w:t xml:space="preserve"> </w:t>
            </w:r>
            <w:r w:rsidR="00E11CE0" w:rsidRPr="003117B3">
              <w:rPr>
                <w:rFonts w:ascii="Times New Roman" w:eastAsia="Arial Unicode MS" w:hAnsi="Times New Roman" w:cs="Times New Roman"/>
                <w:bCs/>
                <w:color w:val="000000" w:themeColor="text1"/>
                <w:lang w:val="ro-RO"/>
              </w:rPr>
              <w:t>109</w:t>
            </w:r>
            <w:r w:rsidR="00E11CE0" w:rsidRPr="003117B3">
              <w:rPr>
                <w:rFonts w:ascii="Times New Roman" w:eastAsia="Arial Unicode MS" w:hAnsi="Times New Roman" w:cs="Times New Roman"/>
                <w:bCs/>
                <w:color w:val="000000" w:themeColor="text1"/>
                <w:vertAlign w:val="superscript"/>
                <w:lang w:val="ro-RO"/>
              </w:rPr>
              <w:t>56</w:t>
            </w:r>
            <w:r w:rsidR="00E11CE0" w:rsidRPr="003117B3">
              <w:rPr>
                <w:rFonts w:ascii="Times New Roman" w:eastAsia="Arial Unicode MS" w:hAnsi="Times New Roman" w:cs="Times New Roman"/>
                <w:bCs/>
                <w:color w:val="000000" w:themeColor="text1"/>
                <w:lang w:val="ro-RO"/>
              </w:rPr>
              <w:t>-109</w:t>
            </w:r>
            <w:r w:rsidR="00E11CE0" w:rsidRPr="003117B3">
              <w:rPr>
                <w:rFonts w:ascii="Times New Roman" w:eastAsia="Arial Unicode MS" w:hAnsi="Times New Roman" w:cs="Times New Roman"/>
                <w:bCs/>
                <w:color w:val="000000" w:themeColor="text1"/>
                <w:vertAlign w:val="superscript"/>
                <w:lang w:val="ro-RO"/>
              </w:rPr>
              <w:t>70</w:t>
            </w:r>
            <w:r w:rsidRPr="003117B3">
              <w:rPr>
                <w:rFonts w:ascii="Times New Roman" w:eastAsia="Arial Unicode MS" w:hAnsi="Times New Roman" w:cs="Times New Roman"/>
                <w:bCs/>
                <w:color w:val="000000" w:themeColor="text1"/>
                <w:lang w:val="ro-RO"/>
              </w:rPr>
              <w:t>, inclusiv împrumuturile către clienţi financiari cu o scadenţă contractuală reziduală de cel puţin un an, expunerile neperformante, elementele deduse din fondurile proprii, activele fixe, titlurile de capital netranzacţionate la bursă, interesul reţinut, activele aferente asigurărilor, titlurile de valoare aflate în stare de nerambursare.</w:t>
            </w:r>
          </w:p>
        </w:tc>
        <w:tc>
          <w:tcPr>
            <w:tcW w:w="336" w:type="pct"/>
          </w:tcPr>
          <w:p w14:paraId="5CD19F1D" w14:textId="4A1050F9" w:rsidR="004F4458" w:rsidRPr="003117B3" w:rsidRDefault="00BA626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Compatibil</w:t>
            </w:r>
          </w:p>
        </w:tc>
        <w:tc>
          <w:tcPr>
            <w:tcW w:w="1153" w:type="pct"/>
          </w:tcPr>
          <w:p w14:paraId="70D20076"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4368A268"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4E2B1B2"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958F8AB" w14:textId="77777777" w:rsidR="004F4458" w:rsidRPr="003117B3" w:rsidRDefault="004F4458" w:rsidP="004F4458">
            <w:pPr>
              <w:spacing w:after="0" w:line="276" w:lineRule="auto"/>
              <w:jc w:val="both"/>
              <w:rPr>
                <w:rFonts w:ascii="Times New Roman" w:hAnsi="Times New Roman" w:cs="Times New Roman"/>
                <w:color w:val="000000" w:themeColor="text1"/>
              </w:rPr>
            </w:pPr>
            <w:r w:rsidRPr="003117B3">
              <w:rPr>
                <w:rFonts w:ascii="Times New Roman" w:hAnsi="Times New Roman" w:cs="Times New Roman"/>
                <w:color w:val="000000" w:themeColor="text1"/>
              </w:rPr>
              <w:lastRenderedPageBreak/>
              <w:t>(2) Instituţiile aplică un factor de finanţare stabilă necesară de 100 % diferenţei, în cazul în care aceasta este pozitivă, dintre suma valorilor juste din cadrul tuturor seturilor de compensare cu o valoare justă pozitivă și suma valorilor juste din cadrul tuturor seturilor de compensare cu o valoare justă negativă, calculate în conformitate cu articolul 428d.</w:t>
            </w:r>
          </w:p>
          <w:p w14:paraId="054886E0"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Următoarele norme se aplică în ceea ce privește calculul menţionat la primul paragraf:</w:t>
            </w:r>
          </w:p>
          <w:p w14:paraId="4A6AEF2E"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(a) marja de variaţie primită de instituţii de la contrapărţile lor se deduce din valoarea justă a unui set de compensare cu valoare justă pozitivă în cazul în care garanţiile reale primite ca marjă de variaţie se califică drept active de nivel 1, în temeiul actului delegat menţionat la articolul 460 alineatul (1), cu excepţia obligaţiunilor garantate cu un nivel extrem de ridicat de calitate menţionate în actul delegat respectiv, și în cazul în care instituţiile sunt abilitate din punct de vedere juridic și sunt în măsură din punct de vedere operaţional să reutilizeze garanţiile reale respective;</w:t>
            </w:r>
          </w:p>
          <w:p w14:paraId="248C06A5" w14:textId="03668D35" w:rsidR="004F4458" w:rsidRPr="003117B3" w:rsidRDefault="004F4458" w:rsidP="004F4458">
            <w:pPr>
              <w:spacing w:after="0" w:line="276" w:lineRule="auto"/>
              <w:jc w:val="both"/>
              <w:rPr>
                <w:rFonts w:ascii="Times New Roman" w:hAnsi="Times New Roman" w:cs="Times New Roman"/>
                <w:b/>
                <w:color w:val="000000" w:themeColor="text1"/>
                <w:lang w:val="it-IT"/>
              </w:rPr>
            </w:pPr>
            <w:r w:rsidRPr="003117B3">
              <w:rPr>
                <w:rFonts w:ascii="Times New Roman" w:hAnsi="Times New Roman" w:cs="Times New Roman"/>
                <w:color w:val="000000" w:themeColor="text1"/>
                <w:lang w:val="it-IT"/>
              </w:rPr>
              <w:t xml:space="preserve">(b) întreaga marjă de variaţie furnizată de instituţii în favoarea contrapărţilor lor se deduce din </w:t>
            </w:r>
            <w:r w:rsidRPr="003117B3">
              <w:rPr>
                <w:rFonts w:ascii="Times New Roman" w:hAnsi="Times New Roman" w:cs="Times New Roman"/>
                <w:color w:val="000000" w:themeColor="text1"/>
                <w:lang w:val="it-IT"/>
              </w:rPr>
              <w:lastRenderedPageBreak/>
              <w:t>valoarea justă a unui set de compensare cu valoare justă negativă.</w:t>
            </w:r>
          </w:p>
        </w:tc>
        <w:tc>
          <w:tcPr>
            <w:tcW w:w="1249" w:type="pct"/>
          </w:tcPr>
          <w:p w14:paraId="06918A9C" w14:textId="4846E6C8"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color w:val="000000" w:themeColor="text1"/>
                <w:lang w:val="ro-RO"/>
              </w:rPr>
              <w:lastRenderedPageBreak/>
              <w:t>109</w:t>
            </w:r>
            <w:r w:rsidRPr="003117B3">
              <w:rPr>
                <w:rFonts w:ascii="Times New Roman" w:eastAsia="Arial Unicode MS" w:hAnsi="Times New Roman" w:cs="Times New Roman"/>
                <w:b/>
                <w:color w:val="000000" w:themeColor="text1"/>
                <w:vertAlign w:val="superscript"/>
                <w:lang w:val="ro-RO"/>
              </w:rPr>
              <w:t>72</w:t>
            </w:r>
            <w:r w:rsidRPr="003117B3">
              <w:rPr>
                <w:rFonts w:ascii="Times New Roman" w:eastAsia="Arial Unicode MS" w:hAnsi="Times New Roman" w:cs="Times New Roman"/>
                <w:b/>
                <w:color w:val="000000" w:themeColor="text1"/>
                <w:lang w:val="ro-RO"/>
              </w:rPr>
              <w:t>.</w:t>
            </w:r>
            <w:r w:rsidRPr="003117B3">
              <w:rPr>
                <w:rFonts w:ascii="Times New Roman" w:eastAsia="Arial Unicode MS" w:hAnsi="Times New Roman" w:cs="Times New Roman"/>
                <w:bCs/>
                <w:color w:val="000000" w:themeColor="text1"/>
                <w:lang w:val="ro-RO"/>
              </w:rPr>
              <w:t xml:space="preserve">  Băncile aplică un factor de finanţare stabilă necesară de 100 % diferenţei, în cazul în care aceasta este pozitivă, dintre suma valorilor juste din cadrul tuturor seturilor de compensare cu o valoare justă pozitivă și suma valorilor juste din cadrul tuturor seturilor de compensare cu o valoare justă negativă, calculate în conformitate cu sec</w:t>
            </w:r>
            <w:r w:rsidR="00827B07" w:rsidRPr="003117B3">
              <w:rPr>
                <w:rFonts w:ascii="Times New Roman" w:eastAsia="Arial Unicode MS" w:hAnsi="Times New Roman" w:cs="Times New Roman"/>
                <w:bCs/>
                <w:color w:val="000000" w:themeColor="text1"/>
                <w:lang w:val="ro-RO"/>
              </w:rPr>
              <w:t>ț</w:t>
            </w:r>
            <w:r w:rsidRPr="003117B3">
              <w:rPr>
                <w:rFonts w:ascii="Times New Roman" w:eastAsia="Arial Unicode MS" w:hAnsi="Times New Roman" w:cs="Times New Roman"/>
                <w:bCs/>
                <w:color w:val="000000" w:themeColor="text1"/>
                <w:lang w:val="ro-RO"/>
              </w:rPr>
              <w:t>iunea 3, capitolul I din prezentul titlu.</w:t>
            </w:r>
          </w:p>
          <w:p w14:paraId="187F4523"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
                <w:color w:val="000000" w:themeColor="text1"/>
                <w:lang w:val="ro-RO"/>
              </w:rPr>
              <w:t>109</w:t>
            </w:r>
            <w:r w:rsidRPr="003117B3">
              <w:rPr>
                <w:rFonts w:ascii="Times New Roman" w:eastAsia="Arial Unicode MS" w:hAnsi="Times New Roman" w:cs="Times New Roman"/>
                <w:b/>
                <w:color w:val="000000" w:themeColor="text1"/>
                <w:vertAlign w:val="superscript"/>
                <w:lang w:val="ro-RO"/>
              </w:rPr>
              <w:t>73</w:t>
            </w:r>
            <w:r w:rsidRPr="003117B3">
              <w:rPr>
                <w:rFonts w:ascii="Times New Roman" w:eastAsia="Arial Unicode MS" w:hAnsi="Times New Roman" w:cs="Times New Roman"/>
                <w:b/>
                <w:color w:val="000000" w:themeColor="text1"/>
                <w:lang w:val="ro-RO"/>
              </w:rPr>
              <w:t>.</w:t>
            </w:r>
            <w:r w:rsidRPr="003117B3">
              <w:rPr>
                <w:rFonts w:ascii="Times New Roman" w:eastAsia="Arial Unicode MS" w:hAnsi="Times New Roman" w:cs="Times New Roman"/>
                <w:bCs/>
                <w:color w:val="000000" w:themeColor="text1"/>
                <w:lang w:val="ro-RO"/>
              </w:rPr>
              <w:t xml:space="preserve">  Următoarele norme se aplică în ceea ce privește calculul menţionat la pct.109</w:t>
            </w:r>
            <w:r w:rsidRPr="003117B3">
              <w:rPr>
                <w:rFonts w:ascii="Times New Roman" w:eastAsia="Arial Unicode MS" w:hAnsi="Times New Roman" w:cs="Times New Roman"/>
                <w:bCs/>
                <w:color w:val="000000" w:themeColor="text1"/>
                <w:vertAlign w:val="superscript"/>
                <w:lang w:val="ro-RO"/>
              </w:rPr>
              <w:t>72</w:t>
            </w:r>
            <w:r w:rsidRPr="003117B3">
              <w:rPr>
                <w:rFonts w:ascii="Times New Roman" w:eastAsia="Arial Unicode MS" w:hAnsi="Times New Roman" w:cs="Times New Roman"/>
                <w:bCs/>
                <w:color w:val="000000" w:themeColor="text1"/>
                <w:lang w:val="ro-RO"/>
              </w:rPr>
              <w:t>:</w:t>
            </w:r>
          </w:p>
          <w:p w14:paraId="658C079C" w14:textId="77777777" w:rsidR="004F4458" w:rsidRPr="003117B3" w:rsidRDefault="004F4458" w:rsidP="004F4458">
            <w:pPr>
              <w:tabs>
                <w:tab w:val="left" w:pos="265"/>
              </w:tabs>
              <w:spacing w:after="120" w:line="240" w:lineRule="auto"/>
              <w:rPr>
                <w:rFonts w:ascii="Times New Roman" w:eastAsia="Arial Unicode MS" w:hAnsi="Times New Roman" w:cs="Times New Roman"/>
                <w:bCs/>
                <w:color w:val="000000" w:themeColor="text1"/>
                <w:lang w:val="ro-RO"/>
              </w:rPr>
            </w:pPr>
            <w:r w:rsidRPr="003117B3">
              <w:rPr>
                <w:rFonts w:ascii="Times New Roman" w:eastAsia="Arial Unicode MS" w:hAnsi="Times New Roman" w:cs="Times New Roman"/>
                <w:bCs/>
                <w:color w:val="000000" w:themeColor="text1"/>
                <w:lang w:val="ro-RO"/>
              </w:rPr>
              <w:t>1) marja de variaţie primită de bănci de la contrapărţile lor se deduce din valoarea justă a unui set de compensare cu valoare justă pozitivă în cazul în care garanţiile reale primite ca marjă de variaţie se califică drept active de nivel 1, în temeiul titlului I,  și în cazul în care băncile sunt abilitate din punct de vedere juridic și sunt în măsură din punct de vedere operaţional să reutilizeze garanţiile reale respective;</w:t>
            </w:r>
          </w:p>
          <w:p w14:paraId="2AE7BF16" w14:textId="2FE7A2E6" w:rsidR="004F4458" w:rsidRPr="003117B3" w:rsidRDefault="004F4458" w:rsidP="004F4458">
            <w:pPr>
              <w:tabs>
                <w:tab w:val="left" w:pos="265"/>
              </w:tabs>
              <w:spacing w:after="120" w:line="240" w:lineRule="auto"/>
              <w:rPr>
                <w:rFonts w:ascii="Times New Roman" w:eastAsia="Arial Unicode MS" w:hAnsi="Times New Roman" w:cs="Times New Roman"/>
                <w:b/>
                <w:bCs/>
                <w:i/>
                <w:color w:val="000000" w:themeColor="text1"/>
                <w:lang w:val="ro-RO"/>
              </w:rPr>
            </w:pPr>
            <w:r w:rsidRPr="003117B3">
              <w:rPr>
                <w:rFonts w:ascii="Times New Roman" w:eastAsia="Arial Unicode MS" w:hAnsi="Times New Roman" w:cs="Times New Roman"/>
                <w:bCs/>
                <w:color w:val="000000" w:themeColor="text1"/>
                <w:lang w:val="ro-RO"/>
              </w:rPr>
              <w:t xml:space="preserve">2) întreaga marjă de variaţie furnizată de bănci în favoarea contrapărţilor lor </w:t>
            </w:r>
            <w:r w:rsidRPr="003117B3">
              <w:rPr>
                <w:rFonts w:ascii="Times New Roman" w:eastAsia="Arial Unicode MS" w:hAnsi="Times New Roman" w:cs="Times New Roman"/>
                <w:bCs/>
                <w:color w:val="000000" w:themeColor="text1"/>
                <w:lang w:val="ro-RO"/>
              </w:rPr>
              <w:lastRenderedPageBreak/>
              <w:t>se deduce din valoarea justă a unui set de compensare cu valoare justă negativă.</w:t>
            </w:r>
          </w:p>
        </w:tc>
        <w:tc>
          <w:tcPr>
            <w:tcW w:w="336" w:type="pct"/>
          </w:tcPr>
          <w:p w14:paraId="367FEF14" w14:textId="77777777" w:rsidR="004F4458" w:rsidRPr="003117B3" w:rsidRDefault="00BA626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lastRenderedPageBreak/>
              <w:t>Compatibil</w:t>
            </w:r>
          </w:p>
          <w:p w14:paraId="179A6BFD" w14:textId="3876541D" w:rsidR="00E11CE0" w:rsidRPr="003117B3" w:rsidRDefault="00E11CE0" w:rsidP="004F4458">
            <w:pPr>
              <w:spacing w:line="276" w:lineRule="auto"/>
              <w:jc w:val="both"/>
              <w:rPr>
                <w:rFonts w:ascii="Times New Roman" w:hAnsi="Times New Roman" w:cs="Times New Roman"/>
                <w:b/>
                <w:color w:val="000000" w:themeColor="text1"/>
                <w:lang w:val="ro-MD"/>
              </w:rPr>
            </w:pPr>
          </w:p>
        </w:tc>
        <w:tc>
          <w:tcPr>
            <w:tcW w:w="1153" w:type="pct"/>
          </w:tcPr>
          <w:p w14:paraId="1A2D76D8" w14:textId="76DE7DBC"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5D34FD35"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3322D09D"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7BB23F7"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CAPITOLUL 5</w:t>
            </w:r>
          </w:p>
          <w:p w14:paraId="035D7057" w14:textId="215F9818"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Derogare pentru instituţiile mici și cu grad redus de complexitate</w:t>
            </w:r>
          </w:p>
        </w:tc>
        <w:tc>
          <w:tcPr>
            <w:tcW w:w="1249" w:type="pct"/>
          </w:tcPr>
          <w:p w14:paraId="32AB7493"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76A4035D" w14:textId="08BB2891" w:rsidR="004F4458" w:rsidRPr="003117B3" w:rsidRDefault="00BA6269"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0DD2613F" w14:textId="14338626"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Prevederile cap.5-7 nu se transpun deoarece se referă la instituţiile mici și cu grad redus de complexitate. Potrivit art.4 pct. 145. „instituţie mică și cu un grad redus de complexitate” înseamnă o instituţie care îndeplinește </w:t>
            </w:r>
            <w:r w:rsidRPr="003117B3">
              <w:rPr>
                <w:rFonts w:ascii="Times New Roman" w:hAnsi="Times New Roman" w:cs="Times New Roman"/>
                <w:b/>
                <w:bCs/>
                <w:color w:val="000000" w:themeColor="text1"/>
                <w:lang w:val="ro-MD"/>
              </w:rPr>
              <w:t>cumulativ</w:t>
            </w:r>
            <w:r w:rsidRPr="003117B3">
              <w:rPr>
                <w:rFonts w:ascii="Times New Roman" w:hAnsi="Times New Roman" w:cs="Times New Roman"/>
                <w:color w:val="000000" w:themeColor="text1"/>
                <w:lang w:val="ro-MD"/>
              </w:rPr>
              <w:t xml:space="preserve"> următoarele condiţii:</w:t>
            </w:r>
          </w:p>
          <w:p w14:paraId="5AE95752"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(a) nu este o instituţie mare;</w:t>
            </w:r>
          </w:p>
          <w:p w14:paraId="44C7CFC9"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(b) valoarea totală a activelor sale pe bază individuală sau, după caz, pe bază consolidată în conformitate cu prezentul regulament și cu Directiva 2013/36/UE este în medie mai mică sau egală cu pragul de 5 miliarde EUR în perioada de patru ani imediat anterioară perioadei anuale curente de raportare; statele membre pot coborî pragul respectiv;</w:t>
            </w:r>
          </w:p>
          <w:p w14:paraId="407B3A8B"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lastRenderedPageBreak/>
              <w:t>(c) nu face obiectul unor obligaţii sau face obiectul unor obligaţii simplificate în ceea ce privește planificarea redresării și a rezoluţiei în conformitate cu articolul 4 din Directiva 2014/59/UE;</w:t>
            </w:r>
          </w:p>
          <w:p w14:paraId="5281CF3F"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 portofoliul său de tranzacţionare este clasificat ca fiind de mici dimensiuni în înţelesul articolului 94 alineatul (1);</w:t>
            </w:r>
          </w:p>
          <w:p w14:paraId="58F87B2D"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(e) valoarea totală a poziţiilor sale pe instrumente financiare derivate deţinute cu intenţia tranzacţionării nu depășește 2 % din totalul activelor sale bilanţiere și extrabilanţiere și valoarea totală a poziţiilor sale globale pe instrumente financiare derivate nu depășește 5 %, ambele calculate în conformitate cu articolul 273a alineatul (3);</w:t>
            </w:r>
          </w:p>
          <w:p w14:paraId="4F9A5EA3"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(f) peste 75 % din totalul activelor și pasivelor consolidate ale instituţiei, cu excepţia, în ambele </w:t>
            </w:r>
            <w:r w:rsidRPr="003117B3">
              <w:rPr>
                <w:rFonts w:ascii="Times New Roman" w:hAnsi="Times New Roman" w:cs="Times New Roman"/>
                <w:color w:val="000000" w:themeColor="text1"/>
                <w:lang w:val="ro-MD"/>
              </w:rPr>
              <w:lastRenderedPageBreak/>
              <w:t>cazuri, a expunerilor din interiorul grupului, se referă la activităţi cu contrapărţi situate în Spaţiul Economic European;</w:t>
            </w:r>
          </w:p>
          <w:p w14:paraId="702D85A1"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(g) instituţia nu utilizează modele interne pentru a îndeplini cerinţele prudenţiale în conformitate cu prezentul regulament, cu excepţia filialelor care folosesc modele interne elaborate la nivel de grup, cu condiţia ca grupul să fie supus cerinţelor de publicare prevăzute la articolul 433a sau 433c pe bază consolidată;</w:t>
            </w:r>
          </w:p>
          <w:p w14:paraId="1D6C5957"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(h) instituţia nu a contestat la autoritatea competentă calificarea ca instituţie mică și cu un grad redus de complexitate;</w:t>
            </w:r>
          </w:p>
          <w:p w14:paraId="60AC2F27"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(i) autoritatea competentă nu a decis, pe baza analizei dimensiunii, a interconectării, a complexităţii sau a profilului de risc, că instituţia nu trebuie să fie calificată ca </w:t>
            </w:r>
            <w:r w:rsidRPr="003117B3">
              <w:rPr>
                <w:rFonts w:ascii="Times New Roman" w:hAnsi="Times New Roman" w:cs="Times New Roman"/>
                <w:color w:val="000000" w:themeColor="text1"/>
                <w:lang w:val="ro-MD"/>
              </w:rPr>
              <w:lastRenderedPageBreak/>
              <w:t>instituţie mică și cu un grad redus de complexitate;</w:t>
            </w:r>
          </w:p>
          <w:p w14:paraId="4899CF1F"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146. „instituţie mare” înseamnă o instituţie care îndeplinește oricare dintre următoarele condiţii:</w:t>
            </w:r>
          </w:p>
          <w:p w14:paraId="4FABBDF0"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(a) este o G-SII;</w:t>
            </w:r>
          </w:p>
          <w:p w14:paraId="0AA28CB0"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(b) a fost identificată ca fiind o altă instituţie de importanţă sistemică (O-SII) în conformitate cu articolul 131 alineatele (1) și (3) din Directiva 2013/36/UE;</w:t>
            </w:r>
          </w:p>
          <w:p w14:paraId="7F5BCE78" w14:textId="3D61512A"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(c) este, în statul membru în care este stabilită, una dintre cele mai mari trei instituţii în ceea ce privește valoarea totală a activelor;</w:t>
            </w:r>
          </w:p>
          <w:p w14:paraId="214B3295"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 valoarea totală a activelor sale pe bază individuală sau, după caz, pe baza situaţiei sale consolidate în conformitate cu prezentul regulament și cu Directiva 2013/36/UE este mai mare sau egală cu 30 de miliarde EUR;</w:t>
            </w:r>
          </w:p>
          <w:p w14:paraId="0D22106F" w14:textId="6E2CAEFA" w:rsidR="00F610F2" w:rsidRPr="003117B3" w:rsidRDefault="00F610F2" w:rsidP="00F610F2">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lastRenderedPageBreak/>
              <w:t xml:space="preserve">Nici Legea nr.232/2016 cu privire la redresarea și rezoluția băncilor, și nici Procedura privind elaborarea planurilor de rezoluție nu prevăd la această etapă </w:t>
            </w:r>
            <w:r w:rsidRPr="003117B3">
              <w:rPr>
                <w:rFonts w:ascii="Times New Roman" w:hAnsi="Times New Roman" w:cs="Times New Roman"/>
                <w:b/>
                <w:bCs/>
                <w:color w:val="000000" w:themeColor="text1"/>
                <w:lang w:val="ro-MD"/>
              </w:rPr>
              <w:t xml:space="preserve">obligația </w:t>
            </w:r>
            <w:r w:rsidRPr="003117B3">
              <w:rPr>
                <w:rFonts w:ascii="Times New Roman" w:hAnsi="Times New Roman" w:cs="Times New Roman"/>
                <w:color w:val="000000" w:themeColor="text1"/>
                <w:lang w:val="ro-MD"/>
              </w:rPr>
              <w:t>unui tratament diferențiat între bănci, art.8 din Lege stipulând că BNM, în calitate de autoritate competentă şi autoritate de rezoluţie, „</w:t>
            </w:r>
            <w:r w:rsidRPr="003117B3">
              <w:rPr>
                <w:rFonts w:ascii="Times New Roman" w:hAnsi="Times New Roman" w:cs="Times New Roman"/>
                <w:b/>
                <w:bCs/>
                <w:i/>
                <w:iCs/>
                <w:color w:val="000000" w:themeColor="text1"/>
                <w:lang w:val="ro-MD"/>
              </w:rPr>
              <w:t xml:space="preserve">poate </w:t>
            </w:r>
            <w:r w:rsidRPr="003117B3">
              <w:rPr>
                <w:rFonts w:ascii="Times New Roman" w:hAnsi="Times New Roman" w:cs="Times New Roman"/>
                <w:i/>
                <w:iCs/>
                <w:color w:val="000000" w:themeColor="text1"/>
                <w:lang w:val="ro-MD"/>
              </w:rPr>
              <w:t>stabili cerinţe simplificate privind planul de redresare şi planul de rezoluţie al respectivei bănci</w:t>
            </w:r>
            <w:r w:rsidRPr="003117B3">
              <w:rPr>
                <w:rFonts w:ascii="Times New Roman" w:hAnsi="Times New Roman" w:cs="Times New Roman"/>
                <w:color w:val="000000" w:themeColor="text1"/>
                <w:lang w:val="ro-MD"/>
              </w:rPr>
              <w:t xml:space="preserve">”. Prin urmare, în ceea ce privește partea de planificare a rezoluției, condiția de la lit. (c) pentru ca o instituție să fie calificată ca instituție mică și cu un grad redus de complexitate </w:t>
            </w:r>
            <w:r w:rsidRPr="003117B3">
              <w:rPr>
                <w:rFonts w:ascii="Times New Roman" w:hAnsi="Times New Roman" w:cs="Times New Roman"/>
                <w:i/>
                <w:iCs/>
                <w:color w:val="000000" w:themeColor="text1"/>
                <w:lang w:val="ro-MD"/>
              </w:rPr>
              <w:t xml:space="preserve">(„nu face obiectul unor obligaţii sau face obiectul unor obligaţii simplificate în ceea ce privește planificarea redresării și a rezoluţiei în conformitate cu articolul 4 din Directiva 2014/59/UE”), </w:t>
            </w:r>
            <w:r w:rsidRPr="003117B3">
              <w:rPr>
                <w:rFonts w:ascii="Times New Roman" w:hAnsi="Times New Roman" w:cs="Times New Roman"/>
                <w:color w:val="000000" w:themeColor="text1"/>
                <w:lang w:val="ro-MD"/>
              </w:rPr>
              <w:t>nu poate fi considerată ca întrunită.</w:t>
            </w:r>
          </w:p>
        </w:tc>
        <w:tc>
          <w:tcPr>
            <w:tcW w:w="674" w:type="pct"/>
          </w:tcPr>
          <w:p w14:paraId="6EDD195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018A9A05"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6ED14146"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lastRenderedPageBreak/>
              <w:t>CAPITOLUL 6</w:t>
            </w:r>
          </w:p>
          <w:p w14:paraId="401468FD" w14:textId="6CC20619"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Finanţare stabilă disponibilă pentru calcularea simplificată a indicatorului de finanţare stabilă netă</w:t>
            </w:r>
          </w:p>
        </w:tc>
        <w:tc>
          <w:tcPr>
            <w:tcW w:w="1249" w:type="pct"/>
          </w:tcPr>
          <w:p w14:paraId="6A0C7FE9"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7C93EADA"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c>
          <w:tcPr>
            <w:tcW w:w="1153" w:type="pct"/>
          </w:tcPr>
          <w:p w14:paraId="51A5ABE6"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5BC07663"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35FF99E8"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4159978"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CAPITOLUL 7</w:t>
            </w:r>
          </w:p>
          <w:p w14:paraId="106A8991" w14:textId="5BAD85B5" w:rsidR="004F4458" w:rsidRPr="003117B3" w:rsidRDefault="004F4458" w:rsidP="004F4458">
            <w:pPr>
              <w:spacing w:after="0" w:line="276" w:lineRule="auto"/>
              <w:jc w:val="both"/>
              <w:rPr>
                <w:rFonts w:ascii="Times New Roman" w:hAnsi="Times New Roman" w:cs="Times New Roman"/>
                <w:color w:val="000000" w:themeColor="text1"/>
                <w:lang w:val="it-IT"/>
              </w:rPr>
            </w:pPr>
            <w:r w:rsidRPr="003117B3">
              <w:rPr>
                <w:rFonts w:ascii="Times New Roman" w:hAnsi="Times New Roman" w:cs="Times New Roman"/>
                <w:color w:val="000000" w:themeColor="text1"/>
                <w:lang w:val="it-IT"/>
              </w:rPr>
              <w:t>Finanţarea stabilă necesară pentru calcularea simplificată a indicatorului de finanţare stabilă netă</w:t>
            </w:r>
          </w:p>
        </w:tc>
        <w:tc>
          <w:tcPr>
            <w:tcW w:w="1249" w:type="pct"/>
          </w:tcPr>
          <w:p w14:paraId="622C333A"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54B610B6"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c>
          <w:tcPr>
            <w:tcW w:w="1153" w:type="pct"/>
          </w:tcPr>
          <w:p w14:paraId="67ABEB62"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49720390"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6A211412"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7CADA3D6"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p>
        </w:tc>
        <w:tc>
          <w:tcPr>
            <w:tcW w:w="1249" w:type="pct"/>
          </w:tcPr>
          <w:p w14:paraId="2C733E4E"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5C2A1006"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c>
          <w:tcPr>
            <w:tcW w:w="1153" w:type="pct"/>
          </w:tcPr>
          <w:p w14:paraId="54B5A047"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56D2A56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57C6D71D"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2780C397"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p>
        </w:tc>
        <w:tc>
          <w:tcPr>
            <w:tcW w:w="1249" w:type="pct"/>
          </w:tcPr>
          <w:p w14:paraId="11DC427D"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49EF6597"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c>
          <w:tcPr>
            <w:tcW w:w="1153" w:type="pct"/>
          </w:tcPr>
          <w:p w14:paraId="001923D5"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5F804AEA"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04003C1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2A9BC01" w14:textId="77777777" w:rsidR="004F4458" w:rsidRPr="003117B3" w:rsidRDefault="004F4458" w:rsidP="004F4458">
            <w:pPr>
              <w:spacing w:after="0" w:line="276" w:lineRule="auto"/>
              <w:jc w:val="both"/>
              <w:rPr>
                <w:rFonts w:ascii="Times New Roman" w:hAnsi="Times New Roman" w:cs="Times New Roman"/>
                <w:color w:val="000000" w:themeColor="text1"/>
                <w:lang w:val="it-IT"/>
              </w:rPr>
            </w:pPr>
          </w:p>
        </w:tc>
        <w:tc>
          <w:tcPr>
            <w:tcW w:w="1249" w:type="pct"/>
          </w:tcPr>
          <w:p w14:paraId="349E471C"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371AC15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c>
          <w:tcPr>
            <w:tcW w:w="1153" w:type="pct"/>
          </w:tcPr>
          <w:p w14:paraId="1878A524" w14:textId="77777777" w:rsidR="004F4458" w:rsidRPr="003117B3" w:rsidRDefault="004F4458" w:rsidP="004F4458">
            <w:pPr>
              <w:spacing w:line="276" w:lineRule="auto"/>
              <w:rPr>
                <w:rFonts w:ascii="Times New Roman" w:hAnsi="Times New Roman" w:cs="Times New Roman"/>
                <w:color w:val="000000" w:themeColor="text1"/>
                <w:lang w:val="ro-MD"/>
              </w:rPr>
            </w:pPr>
          </w:p>
        </w:tc>
        <w:tc>
          <w:tcPr>
            <w:tcW w:w="674" w:type="pct"/>
          </w:tcPr>
          <w:p w14:paraId="67640AD3"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2E08320D"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33073353" w14:textId="77777777" w:rsidR="004F4458" w:rsidRPr="003117B3" w:rsidRDefault="004F4458" w:rsidP="004F4458">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 xml:space="preserve">PARTEA A NOUA </w:t>
            </w:r>
          </w:p>
          <w:p w14:paraId="3648D916" w14:textId="77777777" w:rsidR="004F4458" w:rsidRPr="003117B3" w:rsidRDefault="004F4458" w:rsidP="004F4458">
            <w:pPr>
              <w:spacing w:line="276" w:lineRule="auto"/>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ACTE DELEGATE ȘI ACTE DE PUNERE ÎN APLICARE</w:t>
            </w:r>
          </w:p>
        </w:tc>
        <w:tc>
          <w:tcPr>
            <w:tcW w:w="1249" w:type="pct"/>
          </w:tcPr>
          <w:p w14:paraId="23BCE3FB" w14:textId="77777777" w:rsidR="004F4458" w:rsidRPr="003117B3" w:rsidRDefault="004F4458" w:rsidP="004F4458">
            <w:pPr>
              <w:spacing w:line="276" w:lineRule="auto"/>
              <w:rPr>
                <w:rFonts w:ascii="Times New Roman" w:hAnsi="Times New Roman" w:cs="Times New Roman"/>
                <w:b/>
                <w:color w:val="000000" w:themeColor="text1"/>
                <w:lang w:val="ro-MD"/>
              </w:rPr>
            </w:pPr>
          </w:p>
        </w:tc>
        <w:tc>
          <w:tcPr>
            <w:tcW w:w="336" w:type="pct"/>
          </w:tcPr>
          <w:p w14:paraId="2082D67F" w14:textId="77777777" w:rsidR="004F4458" w:rsidRPr="003117B3" w:rsidRDefault="004F4458" w:rsidP="004F4458">
            <w:pPr>
              <w:spacing w:line="276" w:lineRule="auto"/>
              <w:rPr>
                <w:rFonts w:ascii="Times New Roman" w:hAnsi="Times New Roman" w:cs="Times New Roman"/>
                <w:b/>
                <w:color w:val="000000" w:themeColor="text1"/>
                <w:lang w:val="ro-MD"/>
              </w:rPr>
            </w:pPr>
          </w:p>
        </w:tc>
        <w:tc>
          <w:tcPr>
            <w:tcW w:w="1153" w:type="pct"/>
          </w:tcPr>
          <w:p w14:paraId="566B9675" w14:textId="77777777" w:rsidR="004F4458" w:rsidRPr="003117B3" w:rsidRDefault="004F4458" w:rsidP="004F4458">
            <w:pPr>
              <w:spacing w:line="276" w:lineRule="auto"/>
              <w:rPr>
                <w:rFonts w:ascii="Times New Roman" w:hAnsi="Times New Roman" w:cs="Times New Roman"/>
                <w:b/>
                <w:color w:val="000000" w:themeColor="text1"/>
                <w:lang w:val="ro-MD"/>
              </w:rPr>
            </w:pPr>
          </w:p>
        </w:tc>
        <w:tc>
          <w:tcPr>
            <w:tcW w:w="674" w:type="pct"/>
          </w:tcPr>
          <w:p w14:paraId="7877FBEA" w14:textId="77777777" w:rsidR="004F4458" w:rsidRPr="003117B3" w:rsidRDefault="004F4458" w:rsidP="004F4458">
            <w:pPr>
              <w:spacing w:line="276" w:lineRule="auto"/>
              <w:rPr>
                <w:rFonts w:ascii="Times New Roman" w:hAnsi="Times New Roman" w:cs="Times New Roman"/>
                <w:b/>
                <w:color w:val="000000" w:themeColor="text1"/>
                <w:lang w:val="ro-MD"/>
              </w:rPr>
            </w:pPr>
          </w:p>
        </w:tc>
      </w:tr>
      <w:tr w:rsidR="003117B3" w:rsidRPr="003117B3" w14:paraId="4DBE2842"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0B74E1E3" w14:textId="77777777" w:rsidR="004F4458" w:rsidRPr="003117B3" w:rsidRDefault="004F4458" w:rsidP="004F4458">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Articolul 460</w:t>
            </w:r>
          </w:p>
          <w:p w14:paraId="1E0A67AE" w14:textId="77777777" w:rsidR="004F4458" w:rsidRPr="003117B3" w:rsidRDefault="004F4458" w:rsidP="004F4458">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Lichiditate</w:t>
            </w:r>
          </w:p>
        </w:tc>
        <w:tc>
          <w:tcPr>
            <w:tcW w:w="1249" w:type="pct"/>
          </w:tcPr>
          <w:p w14:paraId="10384A1E" w14:textId="77777777" w:rsidR="004F4458" w:rsidRPr="003117B3" w:rsidRDefault="004F4458" w:rsidP="004F4458">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Capitolul V.</w:t>
            </w:r>
          </w:p>
          <w:p w14:paraId="5A801473" w14:textId="77777777" w:rsidR="004F4458" w:rsidRPr="003117B3" w:rsidRDefault="004F4458" w:rsidP="004F4458">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DISPOZIȚII TRANZITORII</w:t>
            </w:r>
          </w:p>
        </w:tc>
        <w:tc>
          <w:tcPr>
            <w:tcW w:w="336" w:type="pct"/>
          </w:tcPr>
          <w:p w14:paraId="7E9D586A" w14:textId="77777777" w:rsidR="004F4458" w:rsidRPr="003117B3" w:rsidRDefault="004F4458" w:rsidP="004F4458">
            <w:pPr>
              <w:spacing w:after="0" w:line="276" w:lineRule="auto"/>
              <w:jc w:val="both"/>
              <w:rPr>
                <w:rFonts w:ascii="Times New Roman" w:hAnsi="Times New Roman" w:cs="Times New Roman"/>
                <w:b/>
                <w:color w:val="000000" w:themeColor="text1"/>
                <w:lang w:val="ro-MD"/>
              </w:rPr>
            </w:pPr>
          </w:p>
        </w:tc>
        <w:tc>
          <w:tcPr>
            <w:tcW w:w="1153" w:type="pct"/>
          </w:tcPr>
          <w:p w14:paraId="7555D623" w14:textId="77777777" w:rsidR="004F4458" w:rsidRPr="003117B3" w:rsidRDefault="004F4458" w:rsidP="004F4458">
            <w:pPr>
              <w:spacing w:after="0" w:line="276" w:lineRule="auto"/>
              <w:jc w:val="both"/>
              <w:rPr>
                <w:rFonts w:ascii="Times New Roman" w:hAnsi="Times New Roman" w:cs="Times New Roman"/>
                <w:b/>
                <w:color w:val="000000" w:themeColor="text1"/>
                <w:lang w:val="ro-MD"/>
              </w:rPr>
            </w:pPr>
          </w:p>
        </w:tc>
        <w:tc>
          <w:tcPr>
            <w:tcW w:w="674" w:type="pct"/>
          </w:tcPr>
          <w:p w14:paraId="7904F1D3" w14:textId="77777777" w:rsidR="004F4458" w:rsidRPr="003117B3" w:rsidRDefault="004F4458" w:rsidP="004F4458">
            <w:pPr>
              <w:spacing w:after="0" w:line="276" w:lineRule="auto"/>
              <w:jc w:val="both"/>
              <w:rPr>
                <w:rFonts w:ascii="Times New Roman" w:hAnsi="Times New Roman" w:cs="Times New Roman"/>
                <w:b/>
                <w:color w:val="000000" w:themeColor="text1"/>
                <w:lang w:val="ro-MD"/>
              </w:rPr>
            </w:pPr>
          </w:p>
        </w:tc>
      </w:tr>
      <w:tr w:rsidR="003117B3" w:rsidRPr="003117B3" w14:paraId="48507C20"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131B4884"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(1)  </w:t>
            </w:r>
            <w:r w:rsidRPr="003117B3">
              <w:rPr>
                <w:rFonts w:ascii="Times New Roman" w:hAnsi="Times New Roman" w:cs="Times New Roman"/>
                <w:color w:val="000000" w:themeColor="text1"/>
                <w:lang w:val="ro-MD"/>
              </w:rPr>
              <w:t xml:space="preserve">Comisia este abilitată să adopte un act delegat în conformitate cu articolul 462 pentru a specifica în detaliu cerința generală prevăzută la articolul 412 alineatul (1). Actul delegat adoptat în conformitate cu prezentul alineat se bazează pe elementele care trebuie raportate în conformitate cu partea a șasea titlul II și cu anexa III, specifică circumstanțele în care autoritățile competente </w:t>
            </w:r>
            <w:r w:rsidRPr="003117B3">
              <w:rPr>
                <w:rFonts w:ascii="Times New Roman" w:hAnsi="Times New Roman" w:cs="Times New Roman"/>
                <w:color w:val="000000" w:themeColor="text1"/>
                <w:lang w:val="ro-MD"/>
              </w:rPr>
              <w:lastRenderedPageBreak/>
              <w:t>trebuie să impună instituțiilor de credit niveluri specifice ale intrărilor și ieșirilor în scopul de a acoperi riscuri specifice la care acestea sunt expuse și respectă pragurile stabilite la alineatul (2).</w:t>
            </w:r>
          </w:p>
        </w:tc>
        <w:tc>
          <w:tcPr>
            <w:tcW w:w="1249" w:type="pct"/>
          </w:tcPr>
          <w:p w14:paraId="18B9AFF2" w14:textId="77777777" w:rsidR="004F4458" w:rsidRPr="003117B3" w:rsidRDefault="004F4458" w:rsidP="004F4458">
            <w:pPr>
              <w:spacing w:after="0" w:line="276" w:lineRule="auto"/>
              <w:rPr>
                <w:rFonts w:ascii="Times New Roman" w:hAnsi="Times New Roman" w:cs="Times New Roman"/>
                <w:color w:val="000000" w:themeColor="text1"/>
                <w:lang w:val="ro-MD"/>
              </w:rPr>
            </w:pPr>
          </w:p>
        </w:tc>
        <w:tc>
          <w:tcPr>
            <w:tcW w:w="336" w:type="pct"/>
          </w:tcPr>
          <w:p w14:paraId="269F8F0A" w14:textId="77777777"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Nu se transpune</w:t>
            </w:r>
          </w:p>
        </w:tc>
        <w:tc>
          <w:tcPr>
            <w:tcW w:w="1153" w:type="pct"/>
          </w:tcPr>
          <w:p w14:paraId="523F27FB"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Prevederea respectivă ține de competențele autorităților UE..</w:t>
            </w:r>
          </w:p>
        </w:tc>
        <w:tc>
          <w:tcPr>
            <w:tcW w:w="674" w:type="pct"/>
          </w:tcPr>
          <w:p w14:paraId="5BEDAE9C"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r w:rsidR="003117B3" w:rsidRPr="003117B3" w14:paraId="7138BC66" w14:textId="77777777" w:rsidTr="0016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8" w:type="pct"/>
            <w:shd w:val="clear" w:color="auto" w:fill="auto"/>
          </w:tcPr>
          <w:p w14:paraId="52B6AF37"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t xml:space="preserve">(2)  </w:t>
            </w:r>
            <w:r w:rsidRPr="003117B3">
              <w:rPr>
                <w:rFonts w:ascii="Times New Roman" w:hAnsi="Times New Roman" w:cs="Times New Roman"/>
                <w:color w:val="000000" w:themeColor="text1"/>
                <w:lang w:val="ro-MD"/>
              </w:rPr>
              <w:t>Cerința de acoperire a necesarului de lichiditate menționată la articolul 412 se introduce conform următorului program de introducere graduală:</w:t>
            </w:r>
          </w:p>
          <w:p w14:paraId="456CB7C8"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(a) 60 % din cerința de acoperire a necesarului de lichiditate în 2015;</w:t>
            </w:r>
          </w:p>
          <w:p w14:paraId="76D35596"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(b) 70 % începând cu 1 ianuarie 2016;</w:t>
            </w:r>
          </w:p>
          <w:p w14:paraId="248744D8"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(c) 80 % începând cu 1 ianuarie 2017;</w:t>
            </w:r>
          </w:p>
          <w:p w14:paraId="7468D4ED"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(d) 100 % începând cu 1 ianuarie 2018.</w:t>
            </w:r>
          </w:p>
          <w:p w14:paraId="74BD8CB8"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În acest sens, Comisia ține cont de rapoartele menționate la articolul 509 alineatele (1), (2) și (3) și de standardele internaționale elaborate de forurile internaționale, precum și de specificul Uniunii.</w:t>
            </w:r>
          </w:p>
          <w:p w14:paraId="26CC5C2A"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Comisia adoptă actul delegat menționat la alineatul (1) până la 30 iunie 2014. Acesta intră în </w:t>
            </w:r>
            <w:r w:rsidRPr="003117B3">
              <w:rPr>
                <w:rFonts w:ascii="Times New Roman" w:hAnsi="Times New Roman" w:cs="Times New Roman"/>
                <w:color w:val="000000" w:themeColor="text1"/>
                <w:lang w:val="ro-MD"/>
              </w:rPr>
              <w:lastRenderedPageBreak/>
              <w:t>vigoare până la 31 decembrie 2014, dar nu se aplică înainte de 1 ianuarie 2015.</w:t>
            </w:r>
          </w:p>
        </w:tc>
        <w:tc>
          <w:tcPr>
            <w:tcW w:w="1249" w:type="pct"/>
          </w:tcPr>
          <w:p w14:paraId="0497F054" w14:textId="508A9114" w:rsidR="00C62C07" w:rsidRPr="003117B3" w:rsidRDefault="00C62C07" w:rsidP="00C62C07">
            <w:pPr>
              <w:spacing w:after="0" w:line="276" w:lineRule="auto"/>
              <w:jc w:val="both"/>
              <w:rPr>
                <w:rFonts w:ascii="Times New Roman" w:hAnsi="Times New Roman" w:cs="Times New Roman"/>
                <w:color w:val="000000" w:themeColor="text1"/>
                <w:lang w:val="ro-MD"/>
              </w:rPr>
            </w:pPr>
            <w:r w:rsidRPr="003117B3">
              <w:rPr>
                <w:rFonts w:ascii="Times New Roman" w:hAnsi="Times New Roman" w:cs="Times New Roman"/>
                <w:b/>
                <w:color w:val="000000" w:themeColor="text1"/>
                <w:lang w:val="ro-MD"/>
              </w:rPr>
              <w:lastRenderedPageBreak/>
              <w:t xml:space="preserve">125. </w:t>
            </w:r>
            <w:r w:rsidRPr="003117B3">
              <w:rPr>
                <w:rFonts w:ascii="Times New Roman" w:hAnsi="Times New Roman" w:cs="Times New Roman"/>
                <w:color w:val="000000" w:themeColor="text1"/>
                <w:lang w:val="ro-MD"/>
              </w:rPr>
              <w:t xml:space="preserve">Indicatorul de acoperire a necesarului de lichiditate prevăzut la secțiunea 1 capitolul I, titlul II se aplică după cum urmează: </w:t>
            </w:r>
          </w:p>
          <w:p w14:paraId="53EB68E8" w14:textId="77777777" w:rsidR="00C62C07" w:rsidRPr="003117B3" w:rsidRDefault="00C62C07" w:rsidP="00C62C07">
            <w:pPr>
              <w:spacing w:after="0" w:line="276" w:lineRule="auto"/>
              <w:jc w:val="both"/>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1) 60% din cerința de acoperire a necesarului de lichiditate, începând cu 1 octombrie 2020;</w:t>
            </w:r>
          </w:p>
          <w:p w14:paraId="0924746F" w14:textId="77777777" w:rsidR="00C62C07" w:rsidRPr="003117B3" w:rsidRDefault="00C62C07" w:rsidP="00C62C07">
            <w:pPr>
              <w:spacing w:after="0" w:line="276" w:lineRule="auto"/>
              <w:jc w:val="both"/>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2) 70%, începând cu 1 ianuarie 2021; </w:t>
            </w:r>
          </w:p>
          <w:p w14:paraId="56938C3B" w14:textId="77777777" w:rsidR="00C62C07" w:rsidRPr="003117B3" w:rsidRDefault="00C62C07" w:rsidP="00C62C07">
            <w:pPr>
              <w:spacing w:after="0" w:line="276" w:lineRule="auto"/>
              <w:jc w:val="both"/>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 xml:space="preserve">3) 80%, începând cu 1 ianuarie 2022; </w:t>
            </w:r>
          </w:p>
          <w:p w14:paraId="08F891B3" w14:textId="75779F54" w:rsidR="004F4458" w:rsidRPr="003117B3" w:rsidRDefault="00C62C07" w:rsidP="00C62C07">
            <w:pPr>
              <w:spacing w:after="0" w:line="276" w:lineRule="auto"/>
              <w:jc w:val="both"/>
              <w:rPr>
                <w:rFonts w:ascii="Times New Roman" w:hAnsi="Times New Roman" w:cs="Times New Roman"/>
                <w:b/>
                <w:color w:val="000000" w:themeColor="text1"/>
                <w:lang w:val="ro-MD"/>
              </w:rPr>
            </w:pPr>
            <w:r w:rsidRPr="003117B3">
              <w:rPr>
                <w:rFonts w:ascii="Times New Roman" w:hAnsi="Times New Roman" w:cs="Times New Roman"/>
                <w:color w:val="000000" w:themeColor="text1"/>
                <w:lang w:val="ro-MD"/>
              </w:rPr>
              <w:t>4) 100%, începând cu 1 ianuarie 2023.</w:t>
            </w:r>
          </w:p>
        </w:tc>
        <w:tc>
          <w:tcPr>
            <w:tcW w:w="336" w:type="pct"/>
          </w:tcPr>
          <w:p w14:paraId="42FA3CB8" w14:textId="77777777" w:rsidR="004F4458" w:rsidRPr="003117B3" w:rsidRDefault="004F4458" w:rsidP="004F4458">
            <w:pPr>
              <w:spacing w:line="276" w:lineRule="auto"/>
              <w:jc w:val="both"/>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Parțial compatibil</w:t>
            </w:r>
          </w:p>
        </w:tc>
        <w:tc>
          <w:tcPr>
            <w:tcW w:w="1153" w:type="pct"/>
          </w:tcPr>
          <w:p w14:paraId="14F83DA2"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Prevederile aferente introducerii etapizate a  cerințelor de lichiditate au fost transpuse din art.38 din Regulamentul delegat 2015/61 (a se vedea tabelul de concordanță a proiectului Regulamentului privind cerințele de lichiditate pentru bănci cu Regulamentul delegat 2015/61).</w:t>
            </w:r>
          </w:p>
          <w:p w14:paraId="12611AB7" w14:textId="77777777" w:rsidR="004F4458" w:rsidRPr="003117B3" w:rsidRDefault="004F4458" w:rsidP="004F4458">
            <w:pPr>
              <w:spacing w:line="276" w:lineRule="auto"/>
              <w:rPr>
                <w:rFonts w:ascii="Times New Roman" w:hAnsi="Times New Roman" w:cs="Times New Roman"/>
                <w:color w:val="000000" w:themeColor="text1"/>
                <w:lang w:val="ro-MD"/>
              </w:rPr>
            </w:pPr>
            <w:r w:rsidRPr="003117B3">
              <w:rPr>
                <w:rFonts w:ascii="Times New Roman" w:hAnsi="Times New Roman" w:cs="Times New Roman"/>
                <w:color w:val="000000" w:themeColor="text1"/>
                <w:lang w:val="ro-MD"/>
              </w:rPr>
              <w:t>Propoziția a doua și a treia nu au fost transpuse – țin de competențele autorităților UE.</w:t>
            </w:r>
          </w:p>
        </w:tc>
        <w:tc>
          <w:tcPr>
            <w:tcW w:w="674" w:type="pct"/>
          </w:tcPr>
          <w:p w14:paraId="324A8E10" w14:textId="77777777" w:rsidR="004F4458" w:rsidRPr="003117B3" w:rsidRDefault="004F4458" w:rsidP="004F4458">
            <w:pPr>
              <w:spacing w:line="276" w:lineRule="auto"/>
              <w:jc w:val="both"/>
              <w:rPr>
                <w:rFonts w:ascii="Times New Roman" w:hAnsi="Times New Roman" w:cs="Times New Roman"/>
                <w:b/>
                <w:color w:val="000000" w:themeColor="text1"/>
                <w:lang w:val="ro-MD"/>
              </w:rPr>
            </w:pPr>
          </w:p>
        </w:tc>
      </w:tr>
    </w:tbl>
    <w:p w14:paraId="28A084ED" w14:textId="77777777" w:rsidR="00BB47CE" w:rsidRPr="003117B3" w:rsidRDefault="00BB47CE">
      <w:pPr>
        <w:rPr>
          <w:rFonts w:ascii="Times New Roman" w:hAnsi="Times New Roman" w:cs="Times New Roman"/>
          <w:color w:val="000000" w:themeColor="text1"/>
        </w:rPr>
      </w:pPr>
    </w:p>
    <w:sectPr w:rsidR="00BB47CE" w:rsidRPr="003117B3" w:rsidSect="00976D7E">
      <w:headerReference w:type="even" r:id="rId11"/>
      <w:headerReference w:type="default" r:id="rId12"/>
      <w:footerReference w:type="even" r:id="rId13"/>
      <w:footerReference w:type="default" r:id="rId14"/>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CCF3E" w14:textId="77777777" w:rsidR="00E75AFC" w:rsidRDefault="00E75AFC" w:rsidP="00B40FAE">
      <w:pPr>
        <w:spacing w:after="0" w:line="240" w:lineRule="auto"/>
      </w:pPr>
      <w:r>
        <w:separator/>
      </w:r>
    </w:p>
  </w:endnote>
  <w:endnote w:type="continuationSeparator" w:id="0">
    <w:p w14:paraId="04248B05" w14:textId="77777777" w:rsidR="00E75AFC" w:rsidRDefault="00E75AFC" w:rsidP="00B4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8949" w14:textId="77777777" w:rsidR="00474E43" w:rsidRDefault="00474E43" w:rsidP="00B40FAE">
    <w:pPr>
      <w:pStyle w:val="Footer"/>
      <w:jc w:val="center"/>
    </w:pPr>
    <w:bookmarkStart w:id="4" w:name="TITUS1FooterEvenPages"/>
    <w:r>
      <w:t xml:space="preserve"> </w:t>
    </w:r>
  </w:p>
  <w:p w14:paraId="3C085F8E" w14:textId="77777777" w:rsidR="00474E43" w:rsidRDefault="00474E43" w:rsidP="00B40FAE">
    <w:pPr>
      <w:pStyle w:val="Footer"/>
    </w:pPr>
    <w:r>
      <w:t xml:space="preserve"> </w:t>
    </w:r>
  </w:p>
  <w:bookmarkEnd w:id="4"/>
  <w:p w14:paraId="2846A09B" w14:textId="77777777" w:rsidR="00474E43" w:rsidRDefault="00474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069560"/>
      <w:docPartObj>
        <w:docPartGallery w:val="Page Numbers (Bottom of Page)"/>
        <w:docPartUnique/>
      </w:docPartObj>
    </w:sdtPr>
    <w:sdtEndPr>
      <w:rPr>
        <w:noProof/>
      </w:rPr>
    </w:sdtEndPr>
    <w:sdtContent>
      <w:p w14:paraId="5A2E0BA3" w14:textId="39F09D3D" w:rsidR="00976D7E" w:rsidRDefault="00976D7E">
        <w:pPr>
          <w:pStyle w:val="Footer"/>
          <w:jc w:val="center"/>
        </w:pPr>
        <w:r>
          <w:fldChar w:fldCharType="begin"/>
        </w:r>
        <w:r>
          <w:instrText xml:space="preserve"> PAGE   \* MERGEFORMAT </w:instrText>
        </w:r>
        <w:r>
          <w:fldChar w:fldCharType="separate"/>
        </w:r>
        <w:r w:rsidR="004D0440">
          <w:rPr>
            <w:noProof/>
          </w:rPr>
          <w:t>1</w:t>
        </w:r>
        <w:r>
          <w:rPr>
            <w:noProof/>
          </w:rPr>
          <w:fldChar w:fldCharType="end"/>
        </w:r>
      </w:p>
    </w:sdtContent>
  </w:sdt>
  <w:p w14:paraId="183D7EF2" w14:textId="77777777" w:rsidR="00474E43" w:rsidRDefault="00474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4F35B" w14:textId="77777777" w:rsidR="00E75AFC" w:rsidRDefault="00E75AFC" w:rsidP="00B40FAE">
      <w:pPr>
        <w:spacing w:after="0" w:line="240" w:lineRule="auto"/>
      </w:pPr>
      <w:r>
        <w:separator/>
      </w:r>
    </w:p>
  </w:footnote>
  <w:footnote w:type="continuationSeparator" w:id="0">
    <w:p w14:paraId="2D69BEC0" w14:textId="77777777" w:rsidR="00E75AFC" w:rsidRDefault="00E75AFC" w:rsidP="00B4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BBEC" w14:textId="77777777" w:rsidR="00474E43" w:rsidRDefault="00474E43" w:rsidP="00B40FAE">
    <w:pPr>
      <w:pStyle w:val="Header"/>
      <w:jc w:val="right"/>
    </w:pPr>
    <w:bookmarkStart w:id="2" w:name="TITUS1HeaderEvenPages"/>
    <w:r>
      <w:t xml:space="preserve"> </w:t>
    </w:r>
  </w:p>
  <w:bookmarkEnd w:id="2"/>
  <w:p w14:paraId="73B62C31" w14:textId="77777777" w:rsidR="00474E43" w:rsidRDefault="00474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1632B" w14:textId="77777777" w:rsidR="00474E43" w:rsidRDefault="00474E43" w:rsidP="00B40FAE">
    <w:pPr>
      <w:pStyle w:val="Header"/>
      <w:jc w:val="right"/>
    </w:pPr>
    <w:bookmarkStart w:id="3" w:name="TITUS1HeaderPrimary"/>
    <w:r>
      <w:t xml:space="preserve"> </w:t>
    </w:r>
  </w:p>
  <w:bookmarkEnd w:id="3"/>
  <w:p w14:paraId="0D66338E" w14:textId="77777777" w:rsidR="00474E43" w:rsidRDefault="00474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922B4"/>
    <w:multiLevelType w:val="hybridMultilevel"/>
    <w:tmpl w:val="11AC7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9BD"/>
    <w:rsid w:val="00001CE7"/>
    <w:rsid w:val="00003FD4"/>
    <w:rsid w:val="00012894"/>
    <w:rsid w:val="00016827"/>
    <w:rsid w:val="000216E4"/>
    <w:rsid w:val="0002443A"/>
    <w:rsid w:val="00027194"/>
    <w:rsid w:val="0002768C"/>
    <w:rsid w:val="0003085F"/>
    <w:rsid w:val="00034540"/>
    <w:rsid w:val="00035A87"/>
    <w:rsid w:val="00042F76"/>
    <w:rsid w:val="00046D67"/>
    <w:rsid w:val="00050039"/>
    <w:rsid w:val="00051D8C"/>
    <w:rsid w:val="00064941"/>
    <w:rsid w:val="00067FF1"/>
    <w:rsid w:val="0008053A"/>
    <w:rsid w:val="0008076F"/>
    <w:rsid w:val="00084F3E"/>
    <w:rsid w:val="000876FD"/>
    <w:rsid w:val="000A63C1"/>
    <w:rsid w:val="000B4B6C"/>
    <w:rsid w:val="000D04B6"/>
    <w:rsid w:val="000D1546"/>
    <w:rsid w:val="000E01AD"/>
    <w:rsid w:val="000F29B7"/>
    <w:rsid w:val="000F4BA2"/>
    <w:rsid w:val="000F5CC5"/>
    <w:rsid w:val="00102CE1"/>
    <w:rsid w:val="00105889"/>
    <w:rsid w:val="0011080F"/>
    <w:rsid w:val="001123C3"/>
    <w:rsid w:val="001125F5"/>
    <w:rsid w:val="00112989"/>
    <w:rsid w:val="00114B3C"/>
    <w:rsid w:val="00124037"/>
    <w:rsid w:val="00126DB5"/>
    <w:rsid w:val="00135CC8"/>
    <w:rsid w:val="00151326"/>
    <w:rsid w:val="00152C2D"/>
    <w:rsid w:val="0015463F"/>
    <w:rsid w:val="001565DA"/>
    <w:rsid w:val="00156EE4"/>
    <w:rsid w:val="001607EC"/>
    <w:rsid w:val="00161F62"/>
    <w:rsid w:val="00167929"/>
    <w:rsid w:val="00177CE9"/>
    <w:rsid w:val="00187701"/>
    <w:rsid w:val="001A75DE"/>
    <w:rsid w:val="001B02CB"/>
    <w:rsid w:val="001C2F0F"/>
    <w:rsid w:val="001D170B"/>
    <w:rsid w:val="001F163D"/>
    <w:rsid w:val="001F4C90"/>
    <w:rsid w:val="001F68C1"/>
    <w:rsid w:val="001F7B6C"/>
    <w:rsid w:val="002000E5"/>
    <w:rsid w:val="00200198"/>
    <w:rsid w:val="002071F4"/>
    <w:rsid w:val="00207AF4"/>
    <w:rsid w:val="00217CCC"/>
    <w:rsid w:val="00223351"/>
    <w:rsid w:val="0023237A"/>
    <w:rsid w:val="0024192F"/>
    <w:rsid w:val="00243A3E"/>
    <w:rsid w:val="0024571F"/>
    <w:rsid w:val="002531E7"/>
    <w:rsid w:val="00254BF8"/>
    <w:rsid w:val="002551D3"/>
    <w:rsid w:val="00260CB7"/>
    <w:rsid w:val="00262205"/>
    <w:rsid w:val="00267EBD"/>
    <w:rsid w:val="00270705"/>
    <w:rsid w:val="00270873"/>
    <w:rsid w:val="00270B86"/>
    <w:rsid w:val="00277A5B"/>
    <w:rsid w:val="002966A8"/>
    <w:rsid w:val="00296A33"/>
    <w:rsid w:val="002A7314"/>
    <w:rsid w:val="002A7803"/>
    <w:rsid w:val="002A7F9F"/>
    <w:rsid w:val="002B098A"/>
    <w:rsid w:val="002B0C72"/>
    <w:rsid w:val="002B7860"/>
    <w:rsid w:val="002C2101"/>
    <w:rsid w:val="002C31A8"/>
    <w:rsid w:val="002C7046"/>
    <w:rsid w:val="002C75B2"/>
    <w:rsid w:val="002D096D"/>
    <w:rsid w:val="002D41D0"/>
    <w:rsid w:val="002D4EFE"/>
    <w:rsid w:val="002D5FBE"/>
    <w:rsid w:val="002E1E2E"/>
    <w:rsid w:val="002E5180"/>
    <w:rsid w:val="002E5314"/>
    <w:rsid w:val="002E5899"/>
    <w:rsid w:val="002E6096"/>
    <w:rsid w:val="002F4D50"/>
    <w:rsid w:val="003117B3"/>
    <w:rsid w:val="00323AC1"/>
    <w:rsid w:val="00325FC3"/>
    <w:rsid w:val="0032779E"/>
    <w:rsid w:val="00342EC6"/>
    <w:rsid w:val="003444F9"/>
    <w:rsid w:val="00345A76"/>
    <w:rsid w:val="003500D0"/>
    <w:rsid w:val="00356F9A"/>
    <w:rsid w:val="00361519"/>
    <w:rsid w:val="00364D5D"/>
    <w:rsid w:val="0036633D"/>
    <w:rsid w:val="003709BA"/>
    <w:rsid w:val="003711D4"/>
    <w:rsid w:val="00375E4F"/>
    <w:rsid w:val="003875AA"/>
    <w:rsid w:val="003877DD"/>
    <w:rsid w:val="00393799"/>
    <w:rsid w:val="00395648"/>
    <w:rsid w:val="003969D6"/>
    <w:rsid w:val="00396D68"/>
    <w:rsid w:val="003B2229"/>
    <w:rsid w:val="003B707A"/>
    <w:rsid w:val="003C07B3"/>
    <w:rsid w:val="003C3136"/>
    <w:rsid w:val="003C5D8D"/>
    <w:rsid w:val="003C6601"/>
    <w:rsid w:val="003D0BBB"/>
    <w:rsid w:val="003D4848"/>
    <w:rsid w:val="003D752B"/>
    <w:rsid w:val="003E0E96"/>
    <w:rsid w:val="003E2CA5"/>
    <w:rsid w:val="003E6D31"/>
    <w:rsid w:val="003F17A5"/>
    <w:rsid w:val="003F6806"/>
    <w:rsid w:val="00402580"/>
    <w:rsid w:val="004037F3"/>
    <w:rsid w:val="00405C23"/>
    <w:rsid w:val="00407964"/>
    <w:rsid w:val="004148E9"/>
    <w:rsid w:val="00420F33"/>
    <w:rsid w:val="0044084B"/>
    <w:rsid w:val="00441A67"/>
    <w:rsid w:val="00455AA6"/>
    <w:rsid w:val="00461D70"/>
    <w:rsid w:val="00467591"/>
    <w:rsid w:val="00474E43"/>
    <w:rsid w:val="0048463C"/>
    <w:rsid w:val="00486A78"/>
    <w:rsid w:val="004874DE"/>
    <w:rsid w:val="004938A2"/>
    <w:rsid w:val="00497B01"/>
    <w:rsid w:val="004A5384"/>
    <w:rsid w:val="004A578C"/>
    <w:rsid w:val="004A6A20"/>
    <w:rsid w:val="004B4E50"/>
    <w:rsid w:val="004D0440"/>
    <w:rsid w:val="004D0C15"/>
    <w:rsid w:val="004D17B9"/>
    <w:rsid w:val="004D2319"/>
    <w:rsid w:val="004E1247"/>
    <w:rsid w:val="004E30D3"/>
    <w:rsid w:val="004F4458"/>
    <w:rsid w:val="0050295C"/>
    <w:rsid w:val="00504ADE"/>
    <w:rsid w:val="00506052"/>
    <w:rsid w:val="0050752C"/>
    <w:rsid w:val="005075AA"/>
    <w:rsid w:val="00507E3B"/>
    <w:rsid w:val="0051032D"/>
    <w:rsid w:val="00516B7A"/>
    <w:rsid w:val="00516C09"/>
    <w:rsid w:val="00520A45"/>
    <w:rsid w:val="00526E92"/>
    <w:rsid w:val="0052762C"/>
    <w:rsid w:val="005302C3"/>
    <w:rsid w:val="00531E85"/>
    <w:rsid w:val="0053253D"/>
    <w:rsid w:val="005354B8"/>
    <w:rsid w:val="005378D2"/>
    <w:rsid w:val="00540FD3"/>
    <w:rsid w:val="00541DD7"/>
    <w:rsid w:val="00544CBC"/>
    <w:rsid w:val="0054528F"/>
    <w:rsid w:val="0054599F"/>
    <w:rsid w:val="005501B3"/>
    <w:rsid w:val="00553FD8"/>
    <w:rsid w:val="00555DEB"/>
    <w:rsid w:val="00561B42"/>
    <w:rsid w:val="00562AA9"/>
    <w:rsid w:val="00563090"/>
    <w:rsid w:val="0056349D"/>
    <w:rsid w:val="00577A7B"/>
    <w:rsid w:val="00587652"/>
    <w:rsid w:val="00592710"/>
    <w:rsid w:val="00593483"/>
    <w:rsid w:val="00596AA8"/>
    <w:rsid w:val="005A389D"/>
    <w:rsid w:val="005B3D51"/>
    <w:rsid w:val="005C29BD"/>
    <w:rsid w:val="005C2C65"/>
    <w:rsid w:val="005C683B"/>
    <w:rsid w:val="005D3849"/>
    <w:rsid w:val="005D6035"/>
    <w:rsid w:val="005D614E"/>
    <w:rsid w:val="005E26BC"/>
    <w:rsid w:val="005E400C"/>
    <w:rsid w:val="005F0543"/>
    <w:rsid w:val="005F1A34"/>
    <w:rsid w:val="005F27A7"/>
    <w:rsid w:val="005F40F6"/>
    <w:rsid w:val="005F59BC"/>
    <w:rsid w:val="00602F8C"/>
    <w:rsid w:val="00607856"/>
    <w:rsid w:val="0061173A"/>
    <w:rsid w:val="00615DC5"/>
    <w:rsid w:val="00630A48"/>
    <w:rsid w:val="00637A60"/>
    <w:rsid w:val="00642766"/>
    <w:rsid w:val="00645F0A"/>
    <w:rsid w:val="006514EC"/>
    <w:rsid w:val="0065492B"/>
    <w:rsid w:val="006555BA"/>
    <w:rsid w:val="00655B80"/>
    <w:rsid w:val="006650CB"/>
    <w:rsid w:val="00666B02"/>
    <w:rsid w:val="00667C52"/>
    <w:rsid w:val="00667F3F"/>
    <w:rsid w:val="00671EF1"/>
    <w:rsid w:val="006769F3"/>
    <w:rsid w:val="006807E3"/>
    <w:rsid w:val="00696E16"/>
    <w:rsid w:val="006A080C"/>
    <w:rsid w:val="006A154F"/>
    <w:rsid w:val="006A1702"/>
    <w:rsid w:val="006A678E"/>
    <w:rsid w:val="006A67B3"/>
    <w:rsid w:val="006A779D"/>
    <w:rsid w:val="006A7D7C"/>
    <w:rsid w:val="006B7751"/>
    <w:rsid w:val="006B7CBB"/>
    <w:rsid w:val="006C6430"/>
    <w:rsid w:val="006D3F3D"/>
    <w:rsid w:val="006D6341"/>
    <w:rsid w:val="006E0848"/>
    <w:rsid w:val="006E5997"/>
    <w:rsid w:val="00703797"/>
    <w:rsid w:val="00721D8F"/>
    <w:rsid w:val="007324B5"/>
    <w:rsid w:val="00732AEB"/>
    <w:rsid w:val="00734ACF"/>
    <w:rsid w:val="00736966"/>
    <w:rsid w:val="007375C5"/>
    <w:rsid w:val="007406C9"/>
    <w:rsid w:val="0074356B"/>
    <w:rsid w:val="00745405"/>
    <w:rsid w:val="00745870"/>
    <w:rsid w:val="00750CFA"/>
    <w:rsid w:val="00752E66"/>
    <w:rsid w:val="00761521"/>
    <w:rsid w:val="00765362"/>
    <w:rsid w:val="00765D71"/>
    <w:rsid w:val="00766897"/>
    <w:rsid w:val="00767A9C"/>
    <w:rsid w:val="00767C21"/>
    <w:rsid w:val="00771BBD"/>
    <w:rsid w:val="007808D5"/>
    <w:rsid w:val="00780DCB"/>
    <w:rsid w:val="00782374"/>
    <w:rsid w:val="007874CB"/>
    <w:rsid w:val="00791057"/>
    <w:rsid w:val="007A11D5"/>
    <w:rsid w:val="007B3BBF"/>
    <w:rsid w:val="007C0F61"/>
    <w:rsid w:val="007C109F"/>
    <w:rsid w:val="007C24CD"/>
    <w:rsid w:val="007C7B76"/>
    <w:rsid w:val="007C7EEA"/>
    <w:rsid w:val="007D14F0"/>
    <w:rsid w:val="007E229E"/>
    <w:rsid w:val="007F0502"/>
    <w:rsid w:val="007F0AD8"/>
    <w:rsid w:val="007F4F2F"/>
    <w:rsid w:val="00804D20"/>
    <w:rsid w:val="008052CE"/>
    <w:rsid w:val="0081179C"/>
    <w:rsid w:val="00821EEC"/>
    <w:rsid w:val="0082284D"/>
    <w:rsid w:val="00823639"/>
    <w:rsid w:val="00825DD9"/>
    <w:rsid w:val="00826B0B"/>
    <w:rsid w:val="00827B07"/>
    <w:rsid w:val="008353B2"/>
    <w:rsid w:val="00840070"/>
    <w:rsid w:val="00840E16"/>
    <w:rsid w:val="008461B6"/>
    <w:rsid w:val="008466DA"/>
    <w:rsid w:val="008477DD"/>
    <w:rsid w:val="00851C4D"/>
    <w:rsid w:val="00856B56"/>
    <w:rsid w:val="008632BA"/>
    <w:rsid w:val="00866A49"/>
    <w:rsid w:val="008708CD"/>
    <w:rsid w:val="008752D6"/>
    <w:rsid w:val="00875FF3"/>
    <w:rsid w:val="00876514"/>
    <w:rsid w:val="00877731"/>
    <w:rsid w:val="00880668"/>
    <w:rsid w:val="0088150C"/>
    <w:rsid w:val="00892B3A"/>
    <w:rsid w:val="008A0EE0"/>
    <w:rsid w:val="008A0F80"/>
    <w:rsid w:val="008A3BB4"/>
    <w:rsid w:val="008A3E24"/>
    <w:rsid w:val="008A5F12"/>
    <w:rsid w:val="008B6DB5"/>
    <w:rsid w:val="008C60FC"/>
    <w:rsid w:val="008E254B"/>
    <w:rsid w:val="008E2C25"/>
    <w:rsid w:val="008E557B"/>
    <w:rsid w:val="008F03E2"/>
    <w:rsid w:val="008F2E54"/>
    <w:rsid w:val="008F4C55"/>
    <w:rsid w:val="008F556E"/>
    <w:rsid w:val="008F56A2"/>
    <w:rsid w:val="009025A7"/>
    <w:rsid w:val="009041EC"/>
    <w:rsid w:val="0091742E"/>
    <w:rsid w:val="009207DC"/>
    <w:rsid w:val="0092337A"/>
    <w:rsid w:val="00927868"/>
    <w:rsid w:val="009305BA"/>
    <w:rsid w:val="00940522"/>
    <w:rsid w:val="00940B4D"/>
    <w:rsid w:val="00942AF4"/>
    <w:rsid w:val="00943840"/>
    <w:rsid w:val="00944623"/>
    <w:rsid w:val="00947681"/>
    <w:rsid w:val="00950D4B"/>
    <w:rsid w:val="0095772A"/>
    <w:rsid w:val="00963ED5"/>
    <w:rsid w:val="00970E1B"/>
    <w:rsid w:val="00972221"/>
    <w:rsid w:val="0097522D"/>
    <w:rsid w:val="00976D7E"/>
    <w:rsid w:val="0097765A"/>
    <w:rsid w:val="00977DED"/>
    <w:rsid w:val="00980582"/>
    <w:rsid w:val="0098420E"/>
    <w:rsid w:val="009906CE"/>
    <w:rsid w:val="00991951"/>
    <w:rsid w:val="00992060"/>
    <w:rsid w:val="009A09C4"/>
    <w:rsid w:val="009A11D3"/>
    <w:rsid w:val="009A17A8"/>
    <w:rsid w:val="009A4B4A"/>
    <w:rsid w:val="009A4F61"/>
    <w:rsid w:val="009B1C8C"/>
    <w:rsid w:val="009B2ABE"/>
    <w:rsid w:val="009B2C76"/>
    <w:rsid w:val="009B4C79"/>
    <w:rsid w:val="009C4C33"/>
    <w:rsid w:val="009C5EE8"/>
    <w:rsid w:val="009C6D06"/>
    <w:rsid w:val="009C709A"/>
    <w:rsid w:val="009D17C2"/>
    <w:rsid w:val="009D3D30"/>
    <w:rsid w:val="009D414F"/>
    <w:rsid w:val="009E2BCF"/>
    <w:rsid w:val="009E3C2A"/>
    <w:rsid w:val="009F1BC4"/>
    <w:rsid w:val="009F42F2"/>
    <w:rsid w:val="009F7978"/>
    <w:rsid w:val="00A156FB"/>
    <w:rsid w:val="00A166E7"/>
    <w:rsid w:val="00A2708D"/>
    <w:rsid w:val="00A31935"/>
    <w:rsid w:val="00A42002"/>
    <w:rsid w:val="00A43180"/>
    <w:rsid w:val="00A47DBA"/>
    <w:rsid w:val="00A51156"/>
    <w:rsid w:val="00A528CB"/>
    <w:rsid w:val="00A52DA1"/>
    <w:rsid w:val="00A5580C"/>
    <w:rsid w:val="00A57D22"/>
    <w:rsid w:val="00A620E1"/>
    <w:rsid w:val="00A65448"/>
    <w:rsid w:val="00A7252E"/>
    <w:rsid w:val="00A728C8"/>
    <w:rsid w:val="00A73B3D"/>
    <w:rsid w:val="00A8147B"/>
    <w:rsid w:val="00A823E7"/>
    <w:rsid w:val="00A82FEA"/>
    <w:rsid w:val="00A90297"/>
    <w:rsid w:val="00A94FBD"/>
    <w:rsid w:val="00A95988"/>
    <w:rsid w:val="00AB5823"/>
    <w:rsid w:val="00AB5971"/>
    <w:rsid w:val="00AB6D7D"/>
    <w:rsid w:val="00AD1E82"/>
    <w:rsid w:val="00AD7F65"/>
    <w:rsid w:val="00AE09E5"/>
    <w:rsid w:val="00AE223D"/>
    <w:rsid w:val="00AE7A52"/>
    <w:rsid w:val="00AF151F"/>
    <w:rsid w:val="00AF4362"/>
    <w:rsid w:val="00AF560A"/>
    <w:rsid w:val="00AF7A6C"/>
    <w:rsid w:val="00B0042E"/>
    <w:rsid w:val="00B015DF"/>
    <w:rsid w:val="00B04208"/>
    <w:rsid w:val="00B0527D"/>
    <w:rsid w:val="00B060EC"/>
    <w:rsid w:val="00B069BB"/>
    <w:rsid w:val="00B277AA"/>
    <w:rsid w:val="00B37FF7"/>
    <w:rsid w:val="00B40D86"/>
    <w:rsid w:val="00B40FAE"/>
    <w:rsid w:val="00B55414"/>
    <w:rsid w:val="00B55DC7"/>
    <w:rsid w:val="00B6154E"/>
    <w:rsid w:val="00B65BEE"/>
    <w:rsid w:val="00B70F2F"/>
    <w:rsid w:val="00B71D4C"/>
    <w:rsid w:val="00B74A79"/>
    <w:rsid w:val="00B82861"/>
    <w:rsid w:val="00B8386F"/>
    <w:rsid w:val="00B86ED5"/>
    <w:rsid w:val="00B90915"/>
    <w:rsid w:val="00B91964"/>
    <w:rsid w:val="00B91986"/>
    <w:rsid w:val="00B9275D"/>
    <w:rsid w:val="00B9586D"/>
    <w:rsid w:val="00BA1592"/>
    <w:rsid w:val="00BA47DA"/>
    <w:rsid w:val="00BA6269"/>
    <w:rsid w:val="00BA7E69"/>
    <w:rsid w:val="00BB2A47"/>
    <w:rsid w:val="00BB47CE"/>
    <w:rsid w:val="00BC10EA"/>
    <w:rsid w:val="00BD3111"/>
    <w:rsid w:val="00BD59C6"/>
    <w:rsid w:val="00BD6161"/>
    <w:rsid w:val="00BE1730"/>
    <w:rsid w:val="00BE4C1C"/>
    <w:rsid w:val="00BF1369"/>
    <w:rsid w:val="00C12417"/>
    <w:rsid w:val="00C14FD7"/>
    <w:rsid w:val="00C247A0"/>
    <w:rsid w:val="00C2597E"/>
    <w:rsid w:val="00C27517"/>
    <w:rsid w:val="00C33298"/>
    <w:rsid w:val="00C34E72"/>
    <w:rsid w:val="00C36035"/>
    <w:rsid w:val="00C540B7"/>
    <w:rsid w:val="00C55296"/>
    <w:rsid w:val="00C564C4"/>
    <w:rsid w:val="00C62C07"/>
    <w:rsid w:val="00C92EA9"/>
    <w:rsid w:val="00CA02C8"/>
    <w:rsid w:val="00CA2784"/>
    <w:rsid w:val="00CB01AF"/>
    <w:rsid w:val="00CB1370"/>
    <w:rsid w:val="00CB1B27"/>
    <w:rsid w:val="00CB2E87"/>
    <w:rsid w:val="00CC1FAF"/>
    <w:rsid w:val="00CC2CD9"/>
    <w:rsid w:val="00CC4899"/>
    <w:rsid w:val="00CD60CB"/>
    <w:rsid w:val="00CD6E79"/>
    <w:rsid w:val="00CE10E8"/>
    <w:rsid w:val="00CE43B1"/>
    <w:rsid w:val="00CE43D2"/>
    <w:rsid w:val="00CF0545"/>
    <w:rsid w:val="00CF22F1"/>
    <w:rsid w:val="00CF7C83"/>
    <w:rsid w:val="00D03B02"/>
    <w:rsid w:val="00D03DA7"/>
    <w:rsid w:val="00D14C4D"/>
    <w:rsid w:val="00D179B5"/>
    <w:rsid w:val="00D20521"/>
    <w:rsid w:val="00D21E37"/>
    <w:rsid w:val="00D23BC2"/>
    <w:rsid w:val="00D2775B"/>
    <w:rsid w:val="00D278DB"/>
    <w:rsid w:val="00D27F19"/>
    <w:rsid w:val="00D31A3C"/>
    <w:rsid w:val="00D34E39"/>
    <w:rsid w:val="00D43035"/>
    <w:rsid w:val="00D431EF"/>
    <w:rsid w:val="00D4435C"/>
    <w:rsid w:val="00D51BC7"/>
    <w:rsid w:val="00D54A7D"/>
    <w:rsid w:val="00D601F0"/>
    <w:rsid w:val="00D630E9"/>
    <w:rsid w:val="00D670E6"/>
    <w:rsid w:val="00D6794A"/>
    <w:rsid w:val="00D729A8"/>
    <w:rsid w:val="00D841A0"/>
    <w:rsid w:val="00D9094B"/>
    <w:rsid w:val="00D90D66"/>
    <w:rsid w:val="00D915E4"/>
    <w:rsid w:val="00D91F4F"/>
    <w:rsid w:val="00D96FB6"/>
    <w:rsid w:val="00DA0187"/>
    <w:rsid w:val="00DA2663"/>
    <w:rsid w:val="00DA4EEE"/>
    <w:rsid w:val="00DA5F30"/>
    <w:rsid w:val="00DB0224"/>
    <w:rsid w:val="00DB0B1B"/>
    <w:rsid w:val="00DB2F6A"/>
    <w:rsid w:val="00DB467B"/>
    <w:rsid w:val="00DB548B"/>
    <w:rsid w:val="00DC0D46"/>
    <w:rsid w:val="00DC122E"/>
    <w:rsid w:val="00DC354B"/>
    <w:rsid w:val="00DC43B5"/>
    <w:rsid w:val="00DC5DEF"/>
    <w:rsid w:val="00DD160E"/>
    <w:rsid w:val="00DD2EE9"/>
    <w:rsid w:val="00DE146E"/>
    <w:rsid w:val="00DE22D1"/>
    <w:rsid w:val="00DE2CF9"/>
    <w:rsid w:val="00DF5486"/>
    <w:rsid w:val="00E0111A"/>
    <w:rsid w:val="00E07C42"/>
    <w:rsid w:val="00E11CE0"/>
    <w:rsid w:val="00E277FB"/>
    <w:rsid w:val="00E30A7C"/>
    <w:rsid w:val="00E402D9"/>
    <w:rsid w:val="00E40F5F"/>
    <w:rsid w:val="00E4124F"/>
    <w:rsid w:val="00E450AC"/>
    <w:rsid w:val="00E464D6"/>
    <w:rsid w:val="00E62A38"/>
    <w:rsid w:val="00E62FA8"/>
    <w:rsid w:val="00E644A7"/>
    <w:rsid w:val="00E64672"/>
    <w:rsid w:val="00E668B8"/>
    <w:rsid w:val="00E66F8E"/>
    <w:rsid w:val="00E67379"/>
    <w:rsid w:val="00E75AFC"/>
    <w:rsid w:val="00E8434C"/>
    <w:rsid w:val="00E84D32"/>
    <w:rsid w:val="00E8628A"/>
    <w:rsid w:val="00E96258"/>
    <w:rsid w:val="00E968B8"/>
    <w:rsid w:val="00EA18DD"/>
    <w:rsid w:val="00EA6553"/>
    <w:rsid w:val="00EB4109"/>
    <w:rsid w:val="00EB43EE"/>
    <w:rsid w:val="00EC056E"/>
    <w:rsid w:val="00EC1BBC"/>
    <w:rsid w:val="00EC5EA3"/>
    <w:rsid w:val="00ED034A"/>
    <w:rsid w:val="00ED57A2"/>
    <w:rsid w:val="00ED67F1"/>
    <w:rsid w:val="00EE6B0E"/>
    <w:rsid w:val="00EF3B54"/>
    <w:rsid w:val="00EF4CE8"/>
    <w:rsid w:val="00F01963"/>
    <w:rsid w:val="00F04CBE"/>
    <w:rsid w:val="00F060A3"/>
    <w:rsid w:val="00F21C49"/>
    <w:rsid w:val="00F23EBF"/>
    <w:rsid w:val="00F24178"/>
    <w:rsid w:val="00F314F6"/>
    <w:rsid w:val="00F5255F"/>
    <w:rsid w:val="00F55F38"/>
    <w:rsid w:val="00F560C5"/>
    <w:rsid w:val="00F60133"/>
    <w:rsid w:val="00F610F2"/>
    <w:rsid w:val="00F667CB"/>
    <w:rsid w:val="00F67825"/>
    <w:rsid w:val="00F71ECB"/>
    <w:rsid w:val="00F760A6"/>
    <w:rsid w:val="00F85045"/>
    <w:rsid w:val="00F8612F"/>
    <w:rsid w:val="00F8701B"/>
    <w:rsid w:val="00FA3754"/>
    <w:rsid w:val="00FB0A27"/>
    <w:rsid w:val="00FB1F08"/>
    <w:rsid w:val="00FB3B2B"/>
    <w:rsid w:val="00FC21C3"/>
    <w:rsid w:val="00FC36C7"/>
    <w:rsid w:val="00FD488A"/>
    <w:rsid w:val="00FD640E"/>
    <w:rsid w:val="00FE02A6"/>
    <w:rsid w:val="00FE076E"/>
    <w:rsid w:val="00FE32A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DCC3"/>
  <w15:chartTrackingRefBased/>
  <w15:docId w15:val="{CC517136-79BE-480C-A3BE-B43E4111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FAE"/>
    <w:pPr>
      <w:tabs>
        <w:tab w:val="center" w:pos="4844"/>
        <w:tab w:val="right" w:pos="9689"/>
      </w:tabs>
      <w:spacing w:after="0" w:line="240" w:lineRule="auto"/>
    </w:pPr>
  </w:style>
  <w:style w:type="character" w:customStyle="1" w:styleId="HeaderChar">
    <w:name w:val="Header Char"/>
    <w:basedOn w:val="DefaultParagraphFont"/>
    <w:link w:val="Header"/>
    <w:uiPriority w:val="99"/>
    <w:rsid w:val="00B40FAE"/>
  </w:style>
  <w:style w:type="paragraph" w:styleId="Footer">
    <w:name w:val="footer"/>
    <w:basedOn w:val="Normal"/>
    <w:link w:val="FooterChar"/>
    <w:uiPriority w:val="99"/>
    <w:unhideWhenUsed/>
    <w:rsid w:val="00B40FAE"/>
    <w:pPr>
      <w:tabs>
        <w:tab w:val="center" w:pos="4844"/>
        <w:tab w:val="right" w:pos="9689"/>
      </w:tabs>
      <w:spacing w:after="0" w:line="240" w:lineRule="auto"/>
    </w:pPr>
  </w:style>
  <w:style w:type="character" w:customStyle="1" w:styleId="FooterChar">
    <w:name w:val="Footer Char"/>
    <w:basedOn w:val="DefaultParagraphFont"/>
    <w:link w:val="Footer"/>
    <w:uiPriority w:val="99"/>
    <w:rsid w:val="00B40FAE"/>
  </w:style>
  <w:style w:type="paragraph" w:styleId="ListParagraph">
    <w:name w:val="List Paragraph"/>
    <w:basedOn w:val="Normal"/>
    <w:uiPriority w:val="34"/>
    <w:qFormat/>
    <w:rsid w:val="003E6D31"/>
    <w:pPr>
      <w:ind w:left="720"/>
      <w:contextualSpacing/>
    </w:pPr>
  </w:style>
  <w:style w:type="paragraph" w:styleId="BalloonText">
    <w:name w:val="Balloon Text"/>
    <w:basedOn w:val="Normal"/>
    <w:link w:val="BalloonTextChar"/>
    <w:uiPriority w:val="99"/>
    <w:semiHidden/>
    <w:unhideWhenUsed/>
    <w:rsid w:val="005E4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00C"/>
    <w:rPr>
      <w:rFonts w:ascii="Segoe UI" w:hAnsi="Segoe UI" w:cs="Segoe UI"/>
      <w:sz w:val="18"/>
      <w:szCs w:val="18"/>
    </w:rPr>
  </w:style>
  <w:style w:type="paragraph" w:styleId="CommentText">
    <w:name w:val="annotation text"/>
    <w:basedOn w:val="Normal"/>
    <w:link w:val="CommentTextChar"/>
    <w:uiPriority w:val="99"/>
    <w:unhideWhenUsed/>
    <w:rsid w:val="003C07B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C07B3"/>
    <w:rPr>
      <w:rFonts w:ascii="Times New Roman" w:eastAsia="Times New Roman" w:hAnsi="Times New Roman" w:cs="Times New Roman"/>
      <w:sz w:val="20"/>
      <w:szCs w:val="20"/>
    </w:rPr>
  </w:style>
  <w:style w:type="paragraph" w:customStyle="1" w:styleId="CM4">
    <w:name w:val="CM4"/>
    <w:basedOn w:val="Normal"/>
    <w:next w:val="Normal"/>
    <w:uiPriority w:val="99"/>
    <w:rsid w:val="001F163D"/>
    <w:pPr>
      <w:autoSpaceDE w:val="0"/>
      <w:autoSpaceDN w:val="0"/>
      <w:adjustRightInd w:val="0"/>
      <w:spacing w:after="0" w:line="240" w:lineRule="auto"/>
    </w:pPr>
    <w:rPr>
      <w:rFonts w:ascii="EUAlbertina" w:eastAsia="Times New Roman" w:hAnsi="EUAlbertina" w:cs="Times New Roman"/>
      <w:sz w:val="24"/>
      <w:szCs w:val="24"/>
    </w:rPr>
  </w:style>
  <w:style w:type="character" w:styleId="CommentReference">
    <w:name w:val="annotation reference"/>
    <w:basedOn w:val="DefaultParagraphFont"/>
    <w:uiPriority w:val="99"/>
    <w:semiHidden/>
    <w:unhideWhenUsed/>
    <w:rsid w:val="009F42F2"/>
    <w:rPr>
      <w:sz w:val="16"/>
      <w:szCs w:val="16"/>
    </w:rPr>
  </w:style>
  <w:style w:type="paragraph" w:styleId="CommentSubject">
    <w:name w:val="annotation subject"/>
    <w:basedOn w:val="CommentText"/>
    <w:next w:val="CommentText"/>
    <w:link w:val="CommentSubjectChar"/>
    <w:uiPriority w:val="99"/>
    <w:semiHidden/>
    <w:unhideWhenUsed/>
    <w:rsid w:val="002B786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B7860"/>
    <w:rPr>
      <w:rFonts w:ascii="Times New Roman" w:eastAsia="Times New Roman" w:hAnsi="Times New Roman" w:cs="Times New Roman"/>
      <w:b/>
      <w:bCs/>
      <w:sz w:val="20"/>
      <w:szCs w:val="20"/>
    </w:rPr>
  </w:style>
  <w:style w:type="paragraph" w:styleId="Revision">
    <w:name w:val="Revision"/>
    <w:hidden/>
    <w:uiPriority w:val="99"/>
    <w:semiHidden/>
    <w:rsid w:val="00947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016">
      <w:bodyDiv w:val="1"/>
      <w:marLeft w:val="0"/>
      <w:marRight w:val="0"/>
      <w:marTop w:val="0"/>
      <w:marBottom w:val="0"/>
      <w:divBdr>
        <w:top w:val="none" w:sz="0" w:space="0" w:color="auto"/>
        <w:left w:val="none" w:sz="0" w:space="0" w:color="auto"/>
        <w:bottom w:val="none" w:sz="0" w:space="0" w:color="auto"/>
        <w:right w:val="none" w:sz="0" w:space="0" w:color="auto"/>
      </w:divBdr>
    </w:div>
    <w:div w:id="321473169">
      <w:bodyDiv w:val="1"/>
      <w:marLeft w:val="0"/>
      <w:marRight w:val="0"/>
      <w:marTop w:val="0"/>
      <w:marBottom w:val="0"/>
      <w:divBdr>
        <w:top w:val="none" w:sz="0" w:space="0" w:color="auto"/>
        <w:left w:val="none" w:sz="0" w:space="0" w:color="auto"/>
        <w:bottom w:val="none" w:sz="0" w:space="0" w:color="auto"/>
        <w:right w:val="none" w:sz="0" w:space="0" w:color="auto"/>
      </w:divBdr>
    </w:div>
    <w:div w:id="796030567">
      <w:bodyDiv w:val="1"/>
      <w:marLeft w:val="0"/>
      <w:marRight w:val="0"/>
      <w:marTop w:val="0"/>
      <w:marBottom w:val="0"/>
      <w:divBdr>
        <w:top w:val="none" w:sz="0" w:space="0" w:color="auto"/>
        <w:left w:val="none" w:sz="0" w:space="0" w:color="auto"/>
        <w:bottom w:val="none" w:sz="0" w:space="0" w:color="auto"/>
        <w:right w:val="none" w:sz="0" w:space="0" w:color="auto"/>
      </w:divBdr>
    </w:div>
    <w:div w:id="1114711670">
      <w:bodyDiv w:val="1"/>
      <w:marLeft w:val="0"/>
      <w:marRight w:val="0"/>
      <w:marTop w:val="0"/>
      <w:marBottom w:val="0"/>
      <w:divBdr>
        <w:top w:val="none" w:sz="0" w:space="0" w:color="auto"/>
        <w:left w:val="none" w:sz="0" w:space="0" w:color="auto"/>
        <w:bottom w:val="none" w:sz="0" w:space="0" w:color="auto"/>
        <w:right w:val="none" w:sz="0" w:space="0" w:color="auto"/>
      </w:divBdr>
    </w:div>
    <w:div w:id="1218516954">
      <w:bodyDiv w:val="1"/>
      <w:marLeft w:val="0"/>
      <w:marRight w:val="0"/>
      <w:marTop w:val="0"/>
      <w:marBottom w:val="0"/>
      <w:divBdr>
        <w:top w:val="none" w:sz="0" w:space="0" w:color="auto"/>
        <w:left w:val="none" w:sz="0" w:space="0" w:color="auto"/>
        <w:bottom w:val="none" w:sz="0" w:space="0" w:color="auto"/>
        <w:right w:val="none" w:sz="0" w:space="0" w:color="auto"/>
      </w:divBdr>
    </w:div>
    <w:div w:id="1597133213">
      <w:bodyDiv w:val="1"/>
      <w:marLeft w:val="0"/>
      <w:marRight w:val="0"/>
      <w:marTop w:val="0"/>
      <w:marBottom w:val="0"/>
      <w:divBdr>
        <w:top w:val="none" w:sz="0" w:space="0" w:color="auto"/>
        <w:left w:val="none" w:sz="0" w:space="0" w:color="auto"/>
        <w:bottom w:val="none" w:sz="0" w:space="0" w:color="auto"/>
        <w:right w:val="none" w:sz="0" w:space="0" w:color="auto"/>
      </w:divBdr>
    </w:div>
    <w:div w:id="1823152570">
      <w:bodyDiv w:val="1"/>
      <w:marLeft w:val="0"/>
      <w:marRight w:val="0"/>
      <w:marTop w:val="0"/>
      <w:marBottom w:val="0"/>
      <w:divBdr>
        <w:top w:val="none" w:sz="0" w:space="0" w:color="auto"/>
        <w:left w:val="none" w:sz="0" w:space="0" w:color="auto"/>
        <w:bottom w:val="none" w:sz="0" w:space="0" w:color="auto"/>
        <w:right w:val="none" w:sz="0" w:space="0" w:color="auto"/>
      </w:divBdr>
    </w:div>
    <w:div w:id="19438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4DE6-4D7F-4DF3-9132-D202D8264B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E4FC80-E21C-4F12-AE24-14A4E880D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3E43D-66E0-4090-81D0-21D2C7CE5914}">
  <ds:schemaRefs>
    <ds:schemaRef ds:uri="http://schemas.microsoft.com/sharepoint/v3/contenttype/forms"/>
  </ds:schemaRefs>
</ds:datastoreItem>
</file>

<file path=customXml/itemProps4.xml><?xml version="1.0" encoding="utf-8"?>
<ds:datastoreItem xmlns:ds="http://schemas.openxmlformats.org/officeDocument/2006/customXml" ds:itemID="{D82EE83A-BB46-4CDC-90D7-FF0D1371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23532</Words>
  <Characters>134133</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2024-06-07T09:08:00Z</cp:lastPrinted>
  <dcterms:created xsi:type="dcterms:W3CDTF">2024-06-07T09:09:00Z</dcterms:created>
  <dcterms:modified xsi:type="dcterms:W3CDTF">2024-06-07T09:09:00Z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f5f54cd8-e14b-4a1d-8503-4a25160b6df4</vt:lpwstr>
  </property>
  <property fmtid="{D5CDD505-2E9C-101B-9397-08002B2CF9AE}" pid="3" name="ContentTypeId">
    <vt:lpwstr>0x01010041CC8FD9FC602D47942046F00E7457D2</vt:lpwstr>
  </property>
  <property fmtid="{D5CDD505-2E9C-101B-9397-08002B2CF9AE}" pid="4" name="Clasificare">
    <vt:lpwstr>NONE</vt:lpwstr>
  </property>
</Properties>
</file>